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B550B">
      <w:pPr>
        <w:pStyle w:val="63"/>
        <w:tabs>
          <w:tab w:val="left" w:leader="underscore" w:pos="1123"/>
        </w:tabs>
        <w:spacing w:after="360" w:line="240" w:lineRule="auto"/>
        <w:ind w:firstLine="0"/>
        <w:jc w:val="both"/>
        <w:rPr>
          <w:rStyle w:val="62"/>
          <w:rFonts w:hint="default" w:ascii="仿宋" w:hAnsi="仿宋" w:eastAsia="仿宋" w:cs="仿宋"/>
          <w:color w:val="auto"/>
          <w:sz w:val="26"/>
          <w:highlight w:val="none"/>
          <w:lang w:val="en-US"/>
        </w:rPr>
      </w:pPr>
      <w:r>
        <w:rPr>
          <w:rStyle w:val="62"/>
          <w:rFonts w:hint="eastAsia" w:ascii="仿宋" w:hAnsi="仿宋" w:eastAsia="仿宋" w:cs="仿宋"/>
          <w:color w:val="auto"/>
          <w:sz w:val="26"/>
          <w:highlight w:val="none"/>
          <w:lang w:val="en-US"/>
        </w:rPr>
        <w:t>·</w:t>
      </w:r>
      <w:r>
        <w:rPr>
          <w:rStyle w:val="62"/>
          <w:rFonts w:hint="eastAsia" w:ascii="仿宋" w:hAnsi="仿宋" w:eastAsia="仿宋" w:cs="仿宋"/>
          <w:color w:val="auto"/>
          <w:sz w:val="26"/>
          <w:highlight w:val="none"/>
          <w:lang w:val="en-US"/>
        </w:rPr>
        <w:tab/>
      </w:r>
    </w:p>
    <w:p w14:paraId="4C930B19">
      <w:pPr>
        <w:pStyle w:val="63"/>
        <w:tabs>
          <w:tab w:val="left" w:leader="underscore" w:pos="1123"/>
        </w:tabs>
        <w:spacing w:after="360" w:line="240" w:lineRule="auto"/>
        <w:ind w:firstLine="0"/>
        <w:jc w:val="center"/>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u w:val="single"/>
          <w:lang w:val="en-US" w:eastAsia="zh-CN"/>
        </w:rPr>
        <w:t>赣州旅投景区管理集团有限公司家禽类产品2026-2027年度框架协议供应商入围征集</w:t>
      </w:r>
      <w:r>
        <w:rPr>
          <w:rFonts w:hint="eastAsia" w:ascii="仿宋" w:hAnsi="仿宋" w:eastAsia="仿宋" w:cs="仿宋"/>
          <w:b/>
          <w:bCs/>
          <w:color w:val="auto"/>
          <w:sz w:val="28"/>
          <w:szCs w:val="28"/>
          <w:highlight w:val="none"/>
          <w:u w:val="single"/>
        </w:rPr>
        <w:t>项目</w:t>
      </w:r>
    </w:p>
    <w:p w14:paraId="62ED81B5">
      <w:pPr>
        <w:pStyle w:val="63"/>
        <w:tabs>
          <w:tab w:val="left" w:leader="underscore" w:pos="2830"/>
        </w:tabs>
        <w:spacing w:after="1440" w:line="240" w:lineRule="auto"/>
        <w:ind w:firstLine="0"/>
        <w:jc w:val="center"/>
        <w:rPr>
          <w:rFonts w:hint="eastAsia" w:ascii="仿宋" w:hAnsi="仿宋" w:eastAsia="仿宋" w:cs="仿宋"/>
          <w:b/>
          <w:bCs/>
          <w:color w:val="auto"/>
          <w:sz w:val="28"/>
          <w:szCs w:val="28"/>
          <w:highlight w:val="none"/>
        </w:rPr>
      </w:pPr>
      <w:r>
        <w:rPr>
          <w:rStyle w:val="62"/>
          <w:rFonts w:hint="eastAsia" w:ascii="仿宋" w:hAnsi="仿宋" w:eastAsia="仿宋" w:cs="仿宋"/>
          <w:b/>
          <w:bCs/>
          <w:color w:val="auto"/>
          <w:sz w:val="28"/>
          <w:szCs w:val="28"/>
          <w:highlight w:val="none"/>
        </w:rPr>
        <w:t>（</w:t>
      </w:r>
      <w:r>
        <w:rPr>
          <w:rStyle w:val="62"/>
          <w:rFonts w:hint="eastAsia" w:ascii="仿宋" w:hAnsi="仿宋" w:eastAsia="仿宋" w:cs="仿宋"/>
          <w:b/>
          <w:bCs/>
          <w:color w:val="auto"/>
          <w:sz w:val="28"/>
          <w:szCs w:val="28"/>
          <w:highlight w:val="none"/>
          <w:lang w:val="en-US"/>
        </w:rPr>
        <w:t>采购</w:t>
      </w:r>
      <w:r>
        <w:rPr>
          <w:rStyle w:val="62"/>
          <w:rFonts w:hint="eastAsia" w:ascii="仿宋" w:hAnsi="仿宋" w:eastAsia="仿宋" w:cs="仿宋"/>
          <w:b/>
          <w:bCs/>
          <w:color w:val="auto"/>
          <w:sz w:val="28"/>
          <w:szCs w:val="28"/>
          <w:highlight w:val="none"/>
        </w:rPr>
        <w:t>编号：</w:t>
      </w:r>
      <w:r>
        <w:rPr>
          <w:rStyle w:val="62"/>
          <w:rFonts w:hint="eastAsia" w:ascii="仿宋" w:hAnsi="仿宋" w:eastAsia="仿宋" w:cs="仿宋"/>
          <w:b/>
          <w:bCs/>
          <w:color w:val="auto"/>
          <w:sz w:val="28"/>
          <w:szCs w:val="28"/>
          <w:highlight w:val="none"/>
          <w:u w:val="single"/>
          <w:lang w:val="en-US"/>
        </w:rPr>
        <w:t xml:space="preserve">    </w:t>
      </w:r>
      <w:r>
        <w:rPr>
          <w:rStyle w:val="62"/>
          <w:rFonts w:hint="eastAsia" w:ascii="仿宋" w:hAnsi="仿宋" w:eastAsia="仿宋" w:cs="仿宋"/>
          <w:b/>
          <w:bCs/>
          <w:color w:val="auto"/>
          <w:sz w:val="28"/>
          <w:szCs w:val="28"/>
          <w:highlight w:val="none"/>
          <w:u w:val="none"/>
        </w:rPr>
        <w:t>）</w:t>
      </w:r>
    </w:p>
    <w:p w14:paraId="34CD8C60">
      <w:pPr>
        <w:pStyle w:val="63"/>
        <w:spacing w:after="5680" w:line="480" w:lineRule="auto"/>
        <w:ind w:firstLine="0"/>
        <w:jc w:val="center"/>
        <w:rPr>
          <w:rStyle w:val="62"/>
          <w:rFonts w:hint="eastAsia" w:ascii="仿宋" w:hAnsi="仿宋" w:eastAsia="仿宋" w:cs="仿宋"/>
          <w:b/>
          <w:bCs/>
          <w:color w:val="auto"/>
          <w:sz w:val="50"/>
          <w:szCs w:val="50"/>
          <w:highlight w:val="none"/>
        </w:rPr>
      </w:pPr>
      <w:r>
        <w:rPr>
          <w:rStyle w:val="62"/>
          <w:rFonts w:hint="eastAsia" w:ascii="仿宋" w:hAnsi="仿宋" w:eastAsia="仿宋" w:cs="仿宋"/>
          <w:b/>
          <w:bCs/>
          <w:color w:val="auto"/>
          <w:spacing w:val="166"/>
          <w:kern w:val="0"/>
          <w:sz w:val="50"/>
          <w:szCs w:val="50"/>
          <w:highlight w:val="none"/>
          <w:fitText w:val="3000" w:id="1857494822"/>
          <w:lang w:val="en-US"/>
        </w:rPr>
        <w:t>征集</w:t>
      </w:r>
      <w:r>
        <w:rPr>
          <w:rStyle w:val="62"/>
          <w:rFonts w:hint="eastAsia" w:ascii="仿宋" w:hAnsi="仿宋" w:eastAsia="仿宋" w:cs="仿宋"/>
          <w:b/>
          <w:bCs/>
          <w:color w:val="auto"/>
          <w:spacing w:val="166"/>
          <w:kern w:val="0"/>
          <w:sz w:val="50"/>
          <w:szCs w:val="50"/>
          <w:highlight w:val="none"/>
          <w:fitText w:val="3000" w:id="1857494822"/>
        </w:rPr>
        <w:t>文</w:t>
      </w:r>
      <w:r>
        <w:rPr>
          <w:rStyle w:val="62"/>
          <w:rFonts w:hint="eastAsia" w:ascii="仿宋" w:hAnsi="仿宋" w:eastAsia="仿宋" w:cs="仿宋"/>
          <w:b/>
          <w:bCs/>
          <w:color w:val="auto"/>
          <w:spacing w:val="2"/>
          <w:kern w:val="0"/>
          <w:sz w:val="50"/>
          <w:szCs w:val="50"/>
          <w:highlight w:val="none"/>
          <w:fitText w:val="3000" w:id="1857494822"/>
        </w:rPr>
        <w:t>件</w:t>
      </w:r>
    </w:p>
    <w:p w14:paraId="09DF39BE">
      <w:pPr>
        <w:spacing w:after="313" w:afterLines="100" w:line="360" w:lineRule="auto"/>
        <w:jc w:val="center"/>
        <w:rPr>
          <w:rStyle w:val="62"/>
          <w:rFonts w:hint="eastAsia" w:ascii="仿宋" w:hAnsi="仿宋" w:eastAsia="仿宋" w:cs="仿宋"/>
          <w:b/>
          <w:bCs/>
          <w:color w:val="auto"/>
          <w:sz w:val="26"/>
          <w:highlight w:val="none"/>
          <w:lang w:val="en-US"/>
        </w:rPr>
      </w:pPr>
      <w:r>
        <w:rPr>
          <w:rFonts w:hint="eastAsia" w:ascii="仿宋" w:hAnsi="仿宋" w:eastAsia="仿宋" w:cs="仿宋"/>
          <w:b/>
          <w:bCs/>
          <w:color w:val="auto"/>
          <w:highlight w:val="none"/>
          <w:lang w:val="en-US" w:eastAsia="zh-CN"/>
        </w:rPr>
        <w:t>采购</w:t>
      </w:r>
      <w:r>
        <w:rPr>
          <w:rFonts w:hint="eastAsia" w:ascii="仿宋" w:hAnsi="仿宋" w:eastAsia="仿宋" w:cs="仿宋"/>
          <w:b/>
          <w:bCs/>
          <w:color w:val="auto"/>
          <w:highlight w:val="none"/>
        </w:rPr>
        <w:t>人：</w:t>
      </w:r>
      <w:r>
        <w:rPr>
          <w:rFonts w:hint="eastAsia" w:ascii="仿宋" w:hAnsi="仿宋" w:eastAsia="仿宋" w:cs="仿宋"/>
          <w:b/>
          <w:bCs/>
          <w:color w:val="auto"/>
          <w:highlight w:val="none"/>
        </w:rPr>
        <w:tab/>
      </w:r>
      <w:r>
        <w:rPr>
          <w:rFonts w:hint="eastAsia" w:ascii="仿宋" w:hAnsi="仿宋" w:eastAsia="仿宋" w:cs="仿宋"/>
          <w:b/>
          <w:bCs/>
          <w:color w:val="auto"/>
          <w:highlight w:val="none"/>
          <w:u w:val="single"/>
          <w:lang w:eastAsia="zh-CN"/>
        </w:rPr>
        <w:t>赣州旅投景区管理集团有限公司</w:t>
      </w:r>
    </w:p>
    <w:p w14:paraId="656B5B83">
      <w:pPr>
        <w:spacing w:line="360" w:lineRule="auto"/>
        <w:jc w:val="center"/>
        <w:rPr>
          <w:rFonts w:hint="eastAsia" w:ascii="仿宋" w:hAnsi="仿宋" w:eastAsia="仿宋" w:cs="仿宋"/>
          <w:color w:val="auto"/>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Style w:val="62"/>
          <w:rFonts w:hint="eastAsia" w:ascii="仿宋" w:hAnsi="仿宋" w:eastAsia="仿宋" w:cs="仿宋"/>
          <w:b/>
          <w:bCs/>
          <w:color w:val="auto"/>
          <w:sz w:val="26"/>
          <w:highlight w:val="none"/>
          <w:u w:val="single"/>
          <w:lang w:val="en-US"/>
        </w:rPr>
        <w:t>2026</w:t>
      </w:r>
      <w:r>
        <w:rPr>
          <w:rStyle w:val="62"/>
          <w:rFonts w:hint="eastAsia" w:ascii="仿宋" w:hAnsi="仿宋" w:eastAsia="仿宋" w:cs="仿宋"/>
          <w:b/>
          <w:bCs/>
          <w:color w:val="auto"/>
          <w:sz w:val="26"/>
          <w:highlight w:val="none"/>
          <w:lang w:val="en-US"/>
        </w:rPr>
        <w:t>年</w:t>
      </w:r>
      <w:r>
        <w:rPr>
          <w:rStyle w:val="62"/>
          <w:rFonts w:hint="eastAsia" w:ascii="仿宋" w:hAnsi="仿宋" w:eastAsia="仿宋" w:cs="仿宋"/>
          <w:b/>
          <w:bCs/>
          <w:color w:val="auto"/>
          <w:sz w:val="26"/>
          <w:highlight w:val="none"/>
          <w:u w:val="single"/>
          <w:lang w:val="en-US"/>
        </w:rPr>
        <w:t>7月</w:t>
      </w:r>
    </w:p>
    <w:sdt>
      <w:sdtPr>
        <w:rPr>
          <w:rFonts w:ascii="宋体" w:hAnsi="宋体" w:eastAsia="宋体" w:cs="Times New Roman"/>
          <w:b/>
          <w:bCs/>
          <w:color w:val="auto"/>
          <w:kern w:val="2"/>
          <w:sz w:val="28"/>
          <w:szCs w:val="36"/>
          <w:highlight w:val="none"/>
          <w:lang w:val="en-US" w:eastAsia="zh-CN" w:bidi="ar-SA"/>
        </w:rPr>
        <w:id w:val="147464843"/>
        <w15:color w:val="DBDBDB"/>
        <w:docPartObj>
          <w:docPartGallery w:val="Table of Contents"/>
          <w:docPartUnique/>
        </w:docPartObj>
      </w:sdtPr>
      <w:sdtEndPr>
        <w:rPr>
          <w:rFonts w:ascii="宋体" w:hAnsi="宋体" w:eastAsia="宋体" w:cs="Times New Roman"/>
          <w:b/>
          <w:bCs/>
          <w:color w:val="auto"/>
          <w:kern w:val="2"/>
          <w:sz w:val="21"/>
          <w:szCs w:val="24"/>
          <w:highlight w:val="none"/>
          <w:lang w:val="en-US" w:eastAsia="zh-CN" w:bidi="ar-SA"/>
        </w:rPr>
      </w:sdtEndPr>
      <w:sdtContent>
        <w:p w14:paraId="13E8F37C">
          <w:pPr>
            <w:spacing w:before="0" w:beforeLines="0" w:after="0" w:afterLines="0" w:line="240" w:lineRule="auto"/>
            <w:ind w:left="0" w:leftChars="0" w:right="0" w:rightChars="0" w:firstLine="0" w:firstLineChars="0"/>
            <w:jc w:val="center"/>
            <w:rPr>
              <w:b/>
              <w:bCs/>
              <w:color w:val="auto"/>
              <w:sz w:val="36"/>
              <w:szCs w:val="36"/>
              <w:highlight w:val="none"/>
            </w:rPr>
          </w:pPr>
          <w:r>
            <w:rPr>
              <w:rFonts w:ascii="宋体" w:hAnsi="宋体" w:eastAsia="宋体"/>
              <w:b/>
              <w:bCs/>
              <w:color w:val="auto"/>
              <w:sz w:val="28"/>
              <w:szCs w:val="36"/>
              <w:highlight w:val="none"/>
            </w:rPr>
            <w:t>目录</w:t>
          </w:r>
        </w:p>
        <w:p w14:paraId="17CCFEB4">
          <w:pPr>
            <w:pStyle w:val="18"/>
            <w:tabs>
              <w:tab w:val="right" w:leader="dot" w:pos="8306"/>
            </w:tabs>
            <w:ind w:firstLine="480" w:firstLineChars="200"/>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_Toc30580 </w:instrText>
          </w:r>
          <w:r>
            <w:rPr>
              <w:color w:val="auto"/>
              <w:highlight w:val="none"/>
            </w:rPr>
            <w:fldChar w:fldCharType="separate"/>
          </w:r>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r>
            <w:rPr>
              <w:color w:val="auto"/>
              <w:highlight w:val="none"/>
            </w:rPr>
            <w:tab/>
          </w:r>
          <w:r>
            <w:rPr>
              <w:color w:val="auto"/>
              <w:highlight w:val="none"/>
            </w:rPr>
            <w:fldChar w:fldCharType="begin"/>
          </w:r>
          <w:r>
            <w:rPr>
              <w:color w:val="auto"/>
              <w:highlight w:val="none"/>
            </w:rPr>
            <w:instrText xml:space="preserve"> PAGEREF _Toc30580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1D4795A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_Toc29476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1.采购条件</w:t>
          </w:r>
          <w:r>
            <w:rPr>
              <w:color w:val="auto"/>
              <w:highlight w:val="none"/>
            </w:rPr>
            <w:tab/>
          </w:r>
          <w:r>
            <w:rPr>
              <w:color w:val="auto"/>
              <w:highlight w:val="none"/>
            </w:rPr>
            <w:fldChar w:fldCharType="begin"/>
          </w:r>
          <w:r>
            <w:rPr>
              <w:color w:val="auto"/>
              <w:highlight w:val="none"/>
            </w:rPr>
            <w:instrText xml:space="preserve"> PAGEREF _Toc29476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3B086C6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_Toc16550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2.项目概况与采购范围</w:t>
          </w:r>
          <w:r>
            <w:rPr>
              <w:color w:val="auto"/>
              <w:highlight w:val="none"/>
            </w:rPr>
            <w:tab/>
          </w:r>
          <w:r>
            <w:rPr>
              <w:color w:val="auto"/>
              <w:highlight w:val="none"/>
            </w:rPr>
            <w:fldChar w:fldCharType="begin"/>
          </w:r>
          <w:r>
            <w:rPr>
              <w:color w:val="auto"/>
              <w:highlight w:val="none"/>
            </w:rPr>
            <w:instrText xml:space="preserve"> PAGEREF _Toc16550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034646A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_Toc8794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3.供应商资格要求</w:t>
          </w:r>
          <w:r>
            <w:rPr>
              <w:color w:val="auto"/>
              <w:highlight w:val="none"/>
            </w:rPr>
            <w:tab/>
          </w:r>
          <w:r>
            <w:rPr>
              <w:color w:val="auto"/>
              <w:highlight w:val="none"/>
            </w:rPr>
            <w:fldChar w:fldCharType="begin"/>
          </w:r>
          <w:r>
            <w:rPr>
              <w:color w:val="auto"/>
              <w:highlight w:val="none"/>
            </w:rPr>
            <w:instrText xml:space="preserve"> PAGEREF _Toc8794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5DF59E5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_Toc15042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4.征集文件的获取</w:t>
          </w:r>
          <w:r>
            <w:rPr>
              <w:color w:val="auto"/>
              <w:highlight w:val="none"/>
            </w:rPr>
            <w:tab/>
          </w:r>
          <w:r>
            <w:rPr>
              <w:color w:val="auto"/>
              <w:highlight w:val="none"/>
            </w:rPr>
            <w:fldChar w:fldCharType="begin"/>
          </w:r>
          <w:r>
            <w:rPr>
              <w:color w:val="auto"/>
              <w:highlight w:val="none"/>
            </w:rPr>
            <w:instrText xml:space="preserve"> PAGEREF _Toc15042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653D348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_Toc9326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5.响应文件的递交</w:t>
          </w:r>
          <w:r>
            <w:rPr>
              <w:color w:val="auto"/>
              <w:highlight w:val="none"/>
            </w:rPr>
            <w:tab/>
          </w:r>
          <w:r>
            <w:rPr>
              <w:color w:val="auto"/>
              <w:highlight w:val="none"/>
            </w:rPr>
            <w:fldChar w:fldCharType="begin"/>
          </w:r>
          <w:r>
            <w:rPr>
              <w:color w:val="auto"/>
              <w:highlight w:val="none"/>
            </w:rPr>
            <w:instrText xml:space="preserve"> PAGEREF _Toc9326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53ECD29E">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_Toc19569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6.响应文件的开启</w:t>
          </w:r>
          <w:r>
            <w:rPr>
              <w:color w:val="auto"/>
              <w:highlight w:val="none"/>
            </w:rPr>
            <w:tab/>
          </w:r>
          <w:r>
            <w:rPr>
              <w:color w:val="auto"/>
              <w:highlight w:val="none"/>
            </w:rPr>
            <w:fldChar w:fldCharType="begin"/>
          </w:r>
          <w:r>
            <w:rPr>
              <w:color w:val="auto"/>
              <w:highlight w:val="none"/>
            </w:rPr>
            <w:instrText xml:space="preserve"> PAGEREF _Toc19569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6FD35DC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_Toc27719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7.合同签订及付款条件</w:t>
          </w:r>
          <w:r>
            <w:rPr>
              <w:color w:val="auto"/>
              <w:highlight w:val="none"/>
            </w:rPr>
            <w:tab/>
          </w:r>
          <w:r>
            <w:rPr>
              <w:color w:val="auto"/>
              <w:highlight w:val="none"/>
            </w:rPr>
            <w:fldChar w:fldCharType="begin"/>
          </w:r>
          <w:r>
            <w:rPr>
              <w:color w:val="auto"/>
              <w:highlight w:val="none"/>
            </w:rPr>
            <w:instrText xml:space="preserve"> PAGEREF _Toc27719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01C37C86">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_Toc12369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8.发布公告的媒介</w:t>
          </w:r>
          <w:r>
            <w:rPr>
              <w:color w:val="auto"/>
              <w:highlight w:val="none"/>
            </w:rPr>
            <w:tab/>
          </w:r>
          <w:r>
            <w:rPr>
              <w:color w:val="auto"/>
              <w:highlight w:val="none"/>
            </w:rPr>
            <w:fldChar w:fldCharType="begin"/>
          </w:r>
          <w:r>
            <w:rPr>
              <w:color w:val="auto"/>
              <w:highlight w:val="none"/>
            </w:rPr>
            <w:instrText xml:space="preserve"> PAGEREF _Toc12369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D75848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_Toc30718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9.联系方式</w:t>
          </w:r>
          <w:r>
            <w:rPr>
              <w:color w:val="auto"/>
              <w:highlight w:val="none"/>
            </w:rPr>
            <w:tab/>
          </w:r>
          <w:r>
            <w:rPr>
              <w:color w:val="auto"/>
              <w:highlight w:val="none"/>
            </w:rPr>
            <w:fldChar w:fldCharType="begin"/>
          </w:r>
          <w:r>
            <w:rPr>
              <w:color w:val="auto"/>
              <w:highlight w:val="none"/>
            </w:rPr>
            <w:instrText xml:space="preserve"> PAGEREF _Toc30718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FD2EFA0">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_Toc10828 </w:instrText>
          </w:r>
          <w:r>
            <w:rPr>
              <w:color w:val="auto"/>
              <w:highlight w:val="none"/>
            </w:rPr>
            <w:fldChar w:fldCharType="separate"/>
          </w:r>
          <w:r>
            <w:rPr>
              <w:rFonts w:hint="eastAsia" w:ascii="仿宋" w:hAnsi="仿宋" w:eastAsia="仿宋" w:cs="仿宋"/>
              <w:bCs/>
              <w:color w:val="auto"/>
              <w:szCs w:val="44"/>
              <w:highlight w:val="none"/>
            </w:rPr>
            <w:t>第二</w:t>
          </w:r>
          <w:r>
            <w:rPr>
              <w:rFonts w:hint="eastAsia" w:ascii="仿宋" w:hAnsi="仿宋" w:eastAsia="仿宋" w:cs="仿宋"/>
              <w:bCs/>
              <w:color w:val="auto"/>
              <w:szCs w:val="44"/>
              <w:highlight w:val="none"/>
              <w:lang w:val="en-US" w:eastAsia="zh-CN"/>
            </w:rPr>
            <w:t>章</w:t>
          </w:r>
          <w:r>
            <w:rPr>
              <w:rFonts w:hint="eastAsia" w:ascii="仿宋" w:hAnsi="仿宋" w:eastAsia="仿宋" w:cs="仿宋"/>
              <w:bCs/>
              <w:color w:val="auto"/>
              <w:szCs w:val="44"/>
              <w:highlight w:val="none"/>
            </w:rPr>
            <w:t xml:space="preserve">  </w:t>
          </w:r>
          <w:r>
            <w:rPr>
              <w:rFonts w:hint="eastAsia" w:ascii="仿宋" w:hAnsi="仿宋" w:eastAsia="仿宋" w:cs="仿宋"/>
              <w:bCs/>
              <w:color w:val="auto"/>
              <w:szCs w:val="44"/>
              <w:highlight w:val="none"/>
              <w:lang w:val="en-US" w:eastAsia="zh-CN"/>
            </w:rPr>
            <w:t>供应商</w:t>
          </w:r>
          <w:r>
            <w:rPr>
              <w:rFonts w:hint="eastAsia" w:ascii="仿宋" w:hAnsi="仿宋" w:eastAsia="仿宋" w:cs="仿宋"/>
              <w:bCs/>
              <w:color w:val="auto"/>
              <w:szCs w:val="44"/>
              <w:highlight w:val="none"/>
            </w:rPr>
            <w:t>须知</w:t>
          </w:r>
          <w:r>
            <w:rPr>
              <w:color w:val="auto"/>
              <w:highlight w:val="none"/>
            </w:rPr>
            <w:tab/>
          </w:r>
          <w:r>
            <w:rPr>
              <w:color w:val="auto"/>
              <w:highlight w:val="none"/>
            </w:rPr>
            <w:fldChar w:fldCharType="begin"/>
          </w:r>
          <w:r>
            <w:rPr>
              <w:color w:val="auto"/>
              <w:highlight w:val="none"/>
            </w:rPr>
            <w:instrText xml:space="preserve"> PAGEREF _Toc10828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59BAC4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_Toc26965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1.采购项目概况</w:t>
          </w:r>
          <w:r>
            <w:rPr>
              <w:color w:val="auto"/>
              <w:highlight w:val="none"/>
            </w:rPr>
            <w:tab/>
          </w:r>
          <w:r>
            <w:rPr>
              <w:color w:val="auto"/>
              <w:highlight w:val="none"/>
            </w:rPr>
            <w:fldChar w:fldCharType="begin"/>
          </w:r>
          <w:r>
            <w:rPr>
              <w:color w:val="auto"/>
              <w:highlight w:val="none"/>
            </w:rPr>
            <w:instrText xml:space="preserve"> PAGEREF _Toc26965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26A47529">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_Toc5259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2.采购范围、交货期、交货地点和质量标准</w:t>
          </w:r>
          <w:r>
            <w:rPr>
              <w:color w:val="auto"/>
              <w:highlight w:val="none"/>
            </w:rPr>
            <w:tab/>
          </w:r>
          <w:r>
            <w:rPr>
              <w:color w:val="auto"/>
              <w:highlight w:val="none"/>
            </w:rPr>
            <w:fldChar w:fldCharType="begin"/>
          </w:r>
          <w:r>
            <w:rPr>
              <w:color w:val="auto"/>
              <w:highlight w:val="none"/>
            </w:rPr>
            <w:instrText xml:space="preserve"> PAGEREF _Toc5259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7345DB24">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_Toc23397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3.供应商资格要求</w:t>
          </w:r>
          <w:r>
            <w:rPr>
              <w:color w:val="auto"/>
              <w:highlight w:val="none"/>
            </w:rPr>
            <w:tab/>
          </w:r>
          <w:r>
            <w:rPr>
              <w:color w:val="auto"/>
              <w:highlight w:val="none"/>
            </w:rPr>
            <w:fldChar w:fldCharType="begin"/>
          </w:r>
          <w:r>
            <w:rPr>
              <w:color w:val="auto"/>
              <w:highlight w:val="none"/>
            </w:rPr>
            <w:instrText xml:space="preserve"> PAGEREF _Toc23397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47153292">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_Toc26901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4.供应商不得存在的情形</w:t>
          </w:r>
          <w:r>
            <w:rPr>
              <w:color w:val="auto"/>
              <w:highlight w:val="none"/>
            </w:rPr>
            <w:tab/>
          </w:r>
          <w:r>
            <w:rPr>
              <w:color w:val="auto"/>
              <w:highlight w:val="none"/>
            </w:rPr>
            <w:fldChar w:fldCharType="begin"/>
          </w:r>
          <w:r>
            <w:rPr>
              <w:color w:val="auto"/>
              <w:highlight w:val="none"/>
            </w:rPr>
            <w:instrText xml:space="preserve"> PAGEREF _Toc26901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0D2FE0EA">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_Toc9786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5.合同价款</w:t>
          </w:r>
          <w:r>
            <w:rPr>
              <w:color w:val="auto"/>
              <w:highlight w:val="none"/>
            </w:rPr>
            <w:tab/>
          </w:r>
          <w:r>
            <w:rPr>
              <w:color w:val="auto"/>
              <w:highlight w:val="none"/>
            </w:rPr>
            <w:fldChar w:fldCharType="begin"/>
          </w:r>
          <w:r>
            <w:rPr>
              <w:color w:val="auto"/>
              <w:highlight w:val="none"/>
            </w:rPr>
            <w:instrText xml:space="preserve"> PAGEREF _Toc9786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D6723BE">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_Toc21855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6.框架协议签订与正式合同签约</w:t>
          </w:r>
          <w:r>
            <w:rPr>
              <w:color w:val="auto"/>
              <w:highlight w:val="none"/>
            </w:rPr>
            <w:tab/>
          </w:r>
          <w:r>
            <w:rPr>
              <w:color w:val="auto"/>
              <w:highlight w:val="none"/>
            </w:rPr>
            <w:fldChar w:fldCharType="begin"/>
          </w:r>
          <w:r>
            <w:rPr>
              <w:color w:val="auto"/>
              <w:highlight w:val="none"/>
            </w:rPr>
            <w:instrText xml:space="preserve"> PAGEREF _Toc21855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3982889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_Toc2216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7.供应商考核</w:t>
          </w:r>
          <w:r>
            <w:rPr>
              <w:color w:val="auto"/>
              <w:highlight w:val="none"/>
            </w:rPr>
            <w:tab/>
          </w:r>
          <w:r>
            <w:rPr>
              <w:color w:val="auto"/>
              <w:highlight w:val="none"/>
            </w:rPr>
            <w:fldChar w:fldCharType="begin"/>
          </w:r>
          <w:r>
            <w:rPr>
              <w:color w:val="auto"/>
              <w:highlight w:val="none"/>
            </w:rPr>
            <w:instrText xml:space="preserve"> PAGEREF _Toc2216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44928266">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_Toc3921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8.其他需说明的事项</w:t>
          </w:r>
          <w:r>
            <w:rPr>
              <w:color w:val="auto"/>
              <w:highlight w:val="none"/>
            </w:rPr>
            <w:tab/>
          </w:r>
          <w:r>
            <w:rPr>
              <w:color w:val="auto"/>
              <w:highlight w:val="none"/>
            </w:rPr>
            <w:fldChar w:fldCharType="begin"/>
          </w:r>
          <w:r>
            <w:rPr>
              <w:color w:val="auto"/>
              <w:highlight w:val="none"/>
            </w:rPr>
            <w:instrText xml:space="preserve"> PAGEREF _Toc3921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5DCFE570">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_Toc12727 </w:instrText>
          </w:r>
          <w:r>
            <w:rPr>
              <w:color w:val="auto"/>
              <w:highlight w:val="none"/>
            </w:rPr>
            <w:fldChar w:fldCharType="separate"/>
          </w:r>
          <w:r>
            <w:rPr>
              <w:rFonts w:hint="eastAsia" w:ascii="仿宋" w:hAnsi="仿宋" w:eastAsia="仿宋" w:cs="仿宋"/>
              <w:bCs/>
              <w:color w:val="auto"/>
              <w:szCs w:val="44"/>
              <w:highlight w:val="none"/>
              <w:lang w:val="en-US" w:eastAsia="zh-CN"/>
            </w:rPr>
            <w:t>第三章评审办法</w:t>
          </w:r>
          <w:r>
            <w:rPr>
              <w:color w:val="auto"/>
              <w:highlight w:val="none"/>
            </w:rPr>
            <w:tab/>
          </w:r>
          <w:r>
            <w:rPr>
              <w:color w:val="auto"/>
              <w:highlight w:val="none"/>
            </w:rPr>
            <w:fldChar w:fldCharType="begin"/>
          </w:r>
          <w:r>
            <w:rPr>
              <w:color w:val="auto"/>
              <w:highlight w:val="none"/>
            </w:rPr>
            <w:instrText xml:space="preserve"> PAGEREF _Toc12727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33353667">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_Toc8083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1.评审办法</w:t>
          </w:r>
          <w:r>
            <w:rPr>
              <w:color w:val="auto"/>
              <w:highlight w:val="none"/>
            </w:rPr>
            <w:tab/>
          </w:r>
          <w:r>
            <w:rPr>
              <w:color w:val="auto"/>
              <w:highlight w:val="none"/>
            </w:rPr>
            <w:fldChar w:fldCharType="begin"/>
          </w:r>
          <w:r>
            <w:rPr>
              <w:color w:val="auto"/>
              <w:highlight w:val="none"/>
            </w:rPr>
            <w:instrText xml:space="preserve"> PAGEREF _Toc8083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4F1D9B7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_Toc11842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2.初步评审</w:t>
          </w:r>
          <w:r>
            <w:rPr>
              <w:color w:val="auto"/>
              <w:highlight w:val="none"/>
            </w:rPr>
            <w:tab/>
          </w:r>
          <w:r>
            <w:rPr>
              <w:color w:val="auto"/>
              <w:highlight w:val="none"/>
            </w:rPr>
            <w:fldChar w:fldCharType="begin"/>
          </w:r>
          <w:r>
            <w:rPr>
              <w:color w:val="auto"/>
              <w:highlight w:val="none"/>
            </w:rPr>
            <w:instrText xml:space="preserve"> PAGEREF _Toc11842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5A802209">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_Toc13086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3.价格评审</w:t>
          </w:r>
          <w:r>
            <w:rPr>
              <w:color w:val="auto"/>
              <w:highlight w:val="none"/>
            </w:rPr>
            <w:tab/>
          </w:r>
          <w:r>
            <w:rPr>
              <w:color w:val="auto"/>
              <w:highlight w:val="none"/>
            </w:rPr>
            <w:fldChar w:fldCharType="begin"/>
          </w:r>
          <w:r>
            <w:rPr>
              <w:color w:val="auto"/>
              <w:highlight w:val="none"/>
            </w:rPr>
            <w:instrText xml:space="preserve"> PAGEREF _Toc13086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06B351AD">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_Toc9411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4.评审结果</w:t>
          </w:r>
          <w:r>
            <w:rPr>
              <w:color w:val="auto"/>
              <w:highlight w:val="none"/>
            </w:rPr>
            <w:tab/>
          </w:r>
          <w:r>
            <w:rPr>
              <w:color w:val="auto"/>
              <w:highlight w:val="none"/>
            </w:rPr>
            <w:fldChar w:fldCharType="begin"/>
          </w:r>
          <w:r>
            <w:rPr>
              <w:color w:val="auto"/>
              <w:highlight w:val="none"/>
            </w:rPr>
            <w:instrText xml:space="preserve"> PAGEREF _Toc9411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103FABF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_Toc22108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5.框架协议签订与正式合同签约</w:t>
          </w:r>
          <w:r>
            <w:rPr>
              <w:color w:val="auto"/>
              <w:highlight w:val="none"/>
            </w:rPr>
            <w:tab/>
          </w:r>
          <w:r>
            <w:rPr>
              <w:color w:val="auto"/>
              <w:highlight w:val="none"/>
            </w:rPr>
            <w:fldChar w:fldCharType="begin"/>
          </w:r>
          <w:r>
            <w:rPr>
              <w:color w:val="auto"/>
              <w:highlight w:val="none"/>
            </w:rPr>
            <w:instrText xml:space="preserve"> PAGEREF _Toc22108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3EBF2878">
          <w:pPr>
            <w:pStyle w:val="18"/>
            <w:tabs>
              <w:tab w:val="right" w:leader="dot" w:pos="8306"/>
            </w:tabs>
            <w:ind w:firstLine="480" w:firstLineChars="200"/>
            <w:rPr>
              <w:color w:val="auto"/>
              <w:highlight w:val="none"/>
            </w:rPr>
          </w:pPr>
          <w:r>
            <w:rPr>
              <w:color w:val="auto"/>
              <w:highlight w:val="none"/>
            </w:rPr>
            <w:fldChar w:fldCharType="begin"/>
          </w:r>
          <w:r>
            <w:rPr>
              <w:color w:val="auto"/>
              <w:highlight w:val="none"/>
            </w:rPr>
            <w:instrText xml:space="preserve"> HYPERLINK \l _Toc22633 </w:instrText>
          </w:r>
          <w:r>
            <w:rPr>
              <w:color w:val="auto"/>
              <w:highlight w:val="none"/>
            </w:rPr>
            <w:fldChar w:fldCharType="separate"/>
          </w:r>
          <w:r>
            <w:rPr>
              <w:rFonts w:hint="eastAsia" w:ascii="仿宋" w:hAnsi="仿宋" w:eastAsia="仿宋" w:cs="仿宋"/>
              <w:color w:val="auto"/>
              <w:szCs w:val="44"/>
              <w:highlight w:val="none"/>
            </w:rPr>
            <w:t>第</w:t>
          </w:r>
          <w:r>
            <w:rPr>
              <w:rFonts w:hint="eastAsia" w:ascii="仿宋" w:hAnsi="仿宋" w:eastAsia="仿宋" w:cs="仿宋"/>
              <w:color w:val="auto"/>
              <w:szCs w:val="44"/>
              <w:highlight w:val="none"/>
              <w:lang w:val="en-US" w:eastAsia="zh-CN"/>
            </w:rPr>
            <w:t>四</w:t>
          </w:r>
          <w:r>
            <w:rPr>
              <w:rFonts w:hint="eastAsia" w:ascii="仿宋" w:hAnsi="仿宋" w:eastAsia="仿宋" w:cs="仿宋"/>
              <w:color w:val="auto"/>
              <w:szCs w:val="44"/>
              <w:highlight w:val="none"/>
            </w:rPr>
            <w:t>章</w:t>
          </w:r>
          <w:r>
            <w:rPr>
              <w:rFonts w:hint="eastAsia" w:ascii="仿宋" w:hAnsi="仿宋" w:eastAsia="仿宋" w:cs="仿宋"/>
              <w:color w:val="auto"/>
              <w:szCs w:val="44"/>
              <w:highlight w:val="none"/>
              <w:lang w:val="en-US" w:eastAsia="zh-CN"/>
            </w:rPr>
            <w:t>响应</w:t>
          </w:r>
          <w:r>
            <w:rPr>
              <w:rFonts w:hint="eastAsia" w:ascii="仿宋" w:hAnsi="仿宋" w:eastAsia="仿宋" w:cs="仿宋"/>
              <w:color w:val="auto"/>
              <w:szCs w:val="44"/>
              <w:highlight w:val="none"/>
            </w:rPr>
            <w:t>文件格式</w:t>
          </w:r>
          <w:r>
            <w:rPr>
              <w:color w:val="auto"/>
              <w:highlight w:val="none"/>
            </w:rPr>
            <w:tab/>
          </w:r>
          <w:r>
            <w:rPr>
              <w:color w:val="auto"/>
              <w:highlight w:val="none"/>
            </w:rPr>
            <w:fldChar w:fldCharType="begin"/>
          </w:r>
          <w:r>
            <w:rPr>
              <w:color w:val="auto"/>
              <w:highlight w:val="none"/>
            </w:rPr>
            <w:instrText xml:space="preserve"> PAGEREF _Toc22633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23A618C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_Toc20072 </w:instrText>
          </w:r>
          <w:r>
            <w:rPr>
              <w:color w:val="auto"/>
              <w:highlight w:val="none"/>
            </w:rPr>
            <w:fldChar w:fldCharType="separate"/>
          </w:r>
          <w:r>
            <w:rPr>
              <w:rFonts w:hint="eastAsia" w:ascii="仿宋" w:hAnsi="仿宋" w:eastAsia="仿宋" w:cs="仿宋"/>
              <w:bCs/>
              <w:color w:val="auto"/>
              <w:szCs w:val="32"/>
              <w:highlight w:val="none"/>
            </w:rPr>
            <w:t>报  价  函</w:t>
          </w:r>
          <w:r>
            <w:rPr>
              <w:color w:val="auto"/>
              <w:highlight w:val="none"/>
            </w:rPr>
            <w:tab/>
          </w:r>
          <w:r>
            <w:rPr>
              <w:color w:val="auto"/>
              <w:highlight w:val="none"/>
            </w:rPr>
            <w:fldChar w:fldCharType="begin"/>
          </w:r>
          <w:r>
            <w:rPr>
              <w:color w:val="auto"/>
              <w:highlight w:val="none"/>
            </w:rPr>
            <w:instrText xml:space="preserve"> PAGEREF _Toc20072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1F866F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_Toc30181 </w:instrText>
          </w:r>
          <w:r>
            <w:rPr>
              <w:color w:val="auto"/>
              <w:highlight w:val="none"/>
            </w:rPr>
            <w:fldChar w:fldCharType="separate"/>
          </w:r>
          <w:r>
            <w:rPr>
              <w:rFonts w:hint="eastAsia" w:ascii="仿宋" w:hAnsi="仿宋" w:eastAsia="仿宋" w:cs="仿宋"/>
              <w:bCs/>
              <w:color w:val="auto"/>
              <w:szCs w:val="32"/>
              <w:highlight w:val="none"/>
            </w:rPr>
            <w:t>资格审查资料</w:t>
          </w:r>
          <w:r>
            <w:rPr>
              <w:color w:val="auto"/>
              <w:highlight w:val="none"/>
            </w:rPr>
            <w:tab/>
          </w:r>
          <w:r>
            <w:rPr>
              <w:color w:val="auto"/>
              <w:highlight w:val="none"/>
            </w:rPr>
            <w:fldChar w:fldCharType="begin"/>
          </w:r>
          <w:r>
            <w:rPr>
              <w:color w:val="auto"/>
              <w:highlight w:val="none"/>
            </w:rPr>
            <w:instrText xml:space="preserve"> PAGEREF _Toc30181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76BDFA1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_Toc10540 </w:instrText>
          </w:r>
          <w:r>
            <w:rPr>
              <w:color w:val="auto"/>
              <w:highlight w:val="none"/>
            </w:rPr>
            <w:fldChar w:fldCharType="separate"/>
          </w:r>
          <w:r>
            <w:rPr>
              <w:rFonts w:hint="eastAsia" w:ascii="仿宋" w:hAnsi="仿宋" w:eastAsia="仿宋" w:cs="仿宋"/>
              <w:bCs/>
              <w:color w:val="auto"/>
              <w:szCs w:val="32"/>
              <w:highlight w:val="none"/>
            </w:rPr>
            <w:t>（一）公司基本情况一览表</w:t>
          </w:r>
          <w:r>
            <w:rPr>
              <w:color w:val="auto"/>
              <w:highlight w:val="none"/>
            </w:rPr>
            <w:tab/>
          </w:r>
          <w:r>
            <w:rPr>
              <w:color w:val="auto"/>
              <w:highlight w:val="none"/>
            </w:rPr>
            <w:fldChar w:fldCharType="begin"/>
          </w:r>
          <w:r>
            <w:rPr>
              <w:color w:val="auto"/>
              <w:highlight w:val="none"/>
            </w:rPr>
            <w:instrText xml:space="preserve"> PAGEREF _Toc10540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1C16BC8A">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_Toc32658 </w:instrText>
          </w:r>
          <w:r>
            <w:rPr>
              <w:color w:val="auto"/>
              <w:highlight w:val="none"/>
            </w:rPr>
            <w:fldChar w:fldCharType="separate"/>
          </w:r>
          <w:r>
            <w:rPr>
              <w:rFonts w:hint="eastAsia" w:ascii="仿宋" w:hAnsi="仿宋" w:eastAsia="仿宋" w:cs="仿宋"/>
              <w:bCs/>
              <w:color w:val="auto"/>
              <w:szCs w:val="32"/>
              <w:highlight w:val="none"/>
            </w:rPr>
            <w:t>（二）企业业绩情况</w:t>
          </w:r>
          <w:r>
            <w:rPr>
              <w:color w:val="auto"/>
              <w:highlight w:val="none"/>
            </w:rPr>
            <w:tab/>
          </w:r>
          <w:r>
            <w:rPr>
              <w:color w:val="auto"/>
              <w:highlight w:val="none"/>
            </w:rPr>
            <w:fldChar w:fldCharType="begin"/>
          </w:r>
          <w:r>
            <w:rPr>
              <w:color w:val="auto"/>
              <w:highlight w:val="none"/>
            </w:rPr>
            <w:instrText xml:space="preserve"> PAGEREF _Toc32658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48AF7E6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_Toc9056 </w:instrText>
          </w:r>
          <w:r>
            <w:rPr>
              <w:color w:val="auto"/>
              <w:highlight w:val="none"/>
            </w:rPr>
            <w:fldChar w:fldCharType="separate"/>
          </w:r>
          <w:r>
            <w:rPr>
              <w:rFonts w:hint="eastAsia" w:ascii="仿宋" w:hAnsi="仿宋" w:eastAsia="仿宋" w:cs="仿宋"/>
              <w:bCs/>
              <w:color w:val="auto"/>
              <w:szCs w:val="32"/>
              <w:highlight w:val="none"/>
            </w:rPr>
            <w:t>法定代表人</w:t>
          </w:r>
          <w:r>
            <w:rPr>
              <w:rFonts w:hint="eastAsia" w:ascii="仿宋" w:hAnsi="仿宋" w:eastAsia="仿宋" w:cs="仿宋"/>
              <w:bCs/>
              <w:color w:val="auto"/>
              <w:szCs w:val="32"/>
              <w:highlight w:val="none"/>
              <w:lang w:val="en-US" w:eastAsia="zh-CN"/>
            </w:rPr>
            <w:t>身份证复印件</w:t>
          </w:r>
          <w:r>
            <w:rPr>
              <w:rFonts w:hint="eastAsia" w:ascii="仿宋" w:hAnsi="仿宋" w:eastAsia="仿宋" w:cs="仿宋"/>
              <w:bCs/>
              <w:color w:val="auto"/>
              <w:szCs w:val="32"/>
              <w:highlight w:val="none"/>
            </w:rPr>
            <w:t>（适用于无委托代理人的情况）</w:t>
          </w:r>
          <w:r>
            <w:rPr>
              <w:color w:val="auto"/>
              <w:highlight w:val="none"/>
            </w:rPr>
            <w:tab/>
          </w:r>
          <w:r>
            <w:rPr>
              <w:color w:val="auto"/>
              <w:highlight w:val="none"/>
            </w:rPr>
            <w:fldChar w:fldCharType="begin"/>
          </w:r>
          <w:r>
            <w:rPr>
              <w:color w:val="auto"/>
              <w:highlight w:val="none"/>
            </w:rPr>
            <w:instrText xml:space="preserve"> PAGEREF _Toc9056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51C0E52D">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_Toc7138 </w:instrText>
          </w:r>
          <w:r>
            <w:rPr>
              <w:color w:val="auto"/>
              <w:highlight w:val="none"/>
            </w:rPr>
            <w:fldChar w:fldCharType="separate"/>
          </w:r>
          <w:r>
            <w:rPr>
              <w:rFonts w:hint="eastAsia" w:ascii="仿宋" w:hAnsi="仿宋" w:eastAsia="仿宋" w:cs="仿宋"/>
              <w:bCs/>
              <w:color w:val="auto"/>
              <w:szCs w:val="32"/>
              <w:highlight w:val="none"/>
            </w:rPr>
            <w:t>授权委托书（适用于有委托代理人的情况）</w:t>
          </w:r>
          <w:r>
            <w:rPr>
              <w:color w:val="auto"/>
              <w:highlight w:val="none"/>
            </w:rPr>
            <w:tab/>
          </w:r>
          <w:r>
            <w:rPr>
              <w:color w:val="auto"/>
              <w:highlight w:val="none"/>
            </w:rPr>
            <w:fldChar w:fldCharType="begin"/>
          </w:r>
          <w:r>
            <w:rPr>
              <w:color w:val="auto"/>
              <w:highlight w:val="none"/>
            </w:rPr>
            <w:instrText xml:space="preserve"> PAGEREF _Toc7138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45F132F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_Toc15307 </w:instrText>
          </w:r>
          <w:r>
            <w:rPr>
              <w:color w:val="auto"/>
              <w:highlight w:val="none"/>
            </w:rPr>
            <w:fldChar w:fldCharType="separate"/>
          </w:r>
          <w:r>
            <w:rPr>
              <w:rFonts w:hint="eastAsia" w:ascii="仿宋" w:hAnsi="仿宋" w:eastAsia="仿宋" w:cs="仿宋"/>
              <w:bCs/>
              <w:color w:val="auto"/>
              <w:szCs w:val="32"/>
              <w:highlight w:val="none"/>
            </w:rPr>
            <w:t>信誉承诺表</w:t>
          </w:r>
          <w:r>
            <w:rPr>
              <w:color w:val="auto"/>
              <w:highlight w:val="none"/>
            </w:rPr>
            <w:tab/>
          </w:r>
          <w:r>
            <w:rPr>
              <w:color w:val="auto"/>
              <w:highlight w:val="none"/>
            </w:rPr>
            <w:fldChar w:fldCharType="begin"/>
          </w:r>
          <w:r>
            <w:rPr>
              <w:color w:val="auto"/>
              <w:highlight w:val="none"/>
            </w:rPr>
            <w:instrText xml:space="preserve"> PAGEREF _Toc15307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781FD743">
          <w:pPr>
            <w:rPr>
              <w:color w:val="auto"/>
              <w:highlight w:val="none"/>
            </w:rPr>
          </w:pPr>
          <w:r>
            <w:rPr>
              <w:color w:val="auto"/>
              <w:highlight w:val="none"/>
            </w:rPr>
            <w:fldChar w:fldCharType="end"/>
          </w:r>
        </w:p>
      </w:sdtContent>
    </w:sdt>
    <w:p w14:paraId="00AD2795">
      <w:pPr>
        <w:rPr>
          <w:color w:val="auto"/>
          <w:highlight w:val="none"/>
        </w:rPr>
      </w:pPr>
    </w:p>
    <w:p w14:paraId="43C38B17">
      <w:pPr>
        <w:pStyle w:val="12"/>
        <w:numPr>
          <w:ilvl w:val="0"/>
          <w:numId w:val="0"/>
        </w:numPr>
        <w:ind w:left="720" w:leftChars="0"/>
        <w:rPr>
          <w:rFonts w:hint="eastAsia" w:ascii="仿宋" w:hAnsi="仿宋" w:eastAsia="仿宋" w:cs="仿宋"/>
          <w:b/>
          <w:color w:val="auto"/>
          <w:kern w:val="0"/>
          <w:highlight w:val="none"/>
          <w:lang w:val="en-US" w:eastAsia="zh-CN"/>
        </w:rPr>
      </w:pPr>
    </w:p>
    <w:p w14:paraId="68D23DA8">
      <w:pPr>
        <w:ind w:left="720"/>
        <w:rPr>
          <w:rFonts w:hint="eastAsia"/>
          <w:color w:val="auto"/>
          <w:highlight w:val="none"/>
          <w:lang w:eastAsia="zh-CN"/>
        </w:rPr>
      </w:pPr>
      <w:r>
        <w:rPr>
          <w:rFonts w:hint="eastAsia" w:ascii="仿宋" w:hAnsi="仿宋" w:eastAsia="仿宋" w:cs="仿宋"/>
          <w:b/>
          <w:color w:val="auto"/>
          <w:spacing w:val="1440"/>
          <w:kern w:val="0"/>
          <w:highlight w:val="none"/>
          <w:fitText w:val="1680" w:id="1332357556"/>
          <w:lang w:val="en-US" w:eastAsia="zh-CN"/>
        </w:rPr>
        <w:br w:type="page"/>
      </w:r>
    </w:p>
    <w:p w14:paraId="1250A4D2">
      <w:pPr>
        <w:pStyle w:val="3"/>
        <w:numPr>
          <w:ilvl w:val="0"/>
          <w:numId w:val="0"/>
        </w:numPr>
        <w:jc w:val="center"/>
        <w:rPr>
          <w:rFonts w:hint="eastAsia" w:ascii="仿宋" w:hAnsi="仿宋" w:eastAsia="仿宋" w:cs="仿宋"/>
          <w:color w:val="auto"/>
          <w:highlight w:val="none"/>
        </w:rPr>
      </w:pPr>
      <w:bookmarkStart w:id="0" w:name="_Toc30580"/>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bookmarkEnd w:id="0"/>
    </w:p>
    <w:p w14:paraId="471648DA">
      <w:pPr>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赣州旅投景区管理集团有限公司家禽类产品2026-2027年度框架协议供应商入围征集项目征集公告</w:t>
      </w:r>
    </w:p>
    <w:p w14:paraId="06EFEF1A">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 w:name="_Toc29476"/>
      <w:r>
        <w:rPr>
          <w:rFonts w:hint="eastAsia" w:ascii="仿宋" w:hAnsi="仿宋" w:eastAsia="仿宋" w:cs="仿宋"/>
          <w:b/>
          <w:color w:val="auto"/>
          <w:kern w:val="0"/>
          <w:sz w:val="24"/>
          <w:szCs w:val="24"/>
          <w:highlight w:val="none"/>
          <w:lang w:val="en-US" w:eastAsia="zh-CN" w:bidi="ar-SA"/>
        </w:rPr>
        <w:t>1.采购条件</w:t>
      </w:r>
      <w:bookmarkEnd w:id="1"/>
    </w:p>
    <w:p w14:paraId="07CF5638">
      <w:pPr>
        <w:pStyle w:val="63"/>
        <w:keepNext w:val="0"/>
        <w:keepLines w:val="0"/>
        <w:pageBreakBefore w:val="0"/>
        <w:shd w:val="clear" w:color="auto" w:fill="FFFFFF"/>
        <w:kinsoku/>
        <w:wordWrap/>
        <w:overflowPunct/>
        <w:topLinePunct w:val="0"/>
        <w:autoSpaceDE/>
        <w:autoSpaceDN/>
        <w:bidi w:val="0"/>
        <w:spacing w:line="500" w:lineRule="exact"/>
        <w:ind w:left="0" w:leftChars="0" w:firstLine="480" w:firstLineChars="200"/>
        <w:jc w:val="left"/>
        <w:textAlignment w:val="auto"/>
        <w:rPr>
          <w:rStyle w:val="62"/>
          <w:rFonts w:hint="eastAsia" w:ascii="仿宋" w:hAnsi="仿宋" w:eastAsia="仿宋" w:cs="仿宋"/>
          <w:color w:val="auto"/>
          <w:sz w:val="24"/>
          <w:szCs w:val="24"/>
          <w:highlight w:val="none"/>
          <w:lang w:val="en-US"/>
        </w:rPr>
      </w:pPr>
      <w:r>
        <w:rPr>
          <w:rStyle w:val="62"/>
          <w:rFonts w:hint="eastAsia" w:ascii="仿宋" w:hAnsi="仿宋" w:eastAsia="仿宋" w:cs="仿宋"/>
          <w:color w:val="auto"/>
          <w:sz w:val="24"/>
          <w:szCs w:val="24"/>
          <w:highlight w:val="none"/>
          <w:lang w:val="en-US"/>
        </w:rPr>
        <w:t>本次采购项目</w:t>
      </w:r>
      <w:r>
        <w:rPr>
          <w:rStyle w:val="62"/>
          <w:rFonts w:hint="eastAsia" w:ascii="仿宋" w:hAnsi="仿宋" w:eastAsia="仿宋" w:cs="仿宋"/>
          <w:color w:val="auto"/>
          <w:sz w:val="24"/>
          <w:szCs w:val="24"/>
          <w:highlight w:val="none"/>
          <w:u w:val="single"/>
          <w:lang w:val="en-US"/>
        </w:rPr>
        <w:t>（赣州旅投景区管理集团有限公司家禽类产品2026-2027年度框架协议供应商入围征集项目）</w:t>
      </w:r>
      <w:r>
        <w:rPr>
          <w:rStyle w:val="62"/>
          <w:rFonts w:hint="eastAsia" w:ascii="仿宋" w:hAnsi="仿宋" w:eastAsia="仿宋" w:cs="仿宋"/>
          <w:color w:val="auto"/>
          <w:sz w:val="24"/>
          <w:szCs w:val="24"/>
          <w:highlight w:val="none"/>
          <w:lang w:val="en-US"/>
        </w:rPr>
        <w:t>，采购人为</w:t>
      </w:r>
      <w:r>
        <w:rPr>
          <w:rStyle w:val="62"/>
          <w:rFonts w:hint="eastAsia" w:ascii="仿宋" w:hAnsi="仿宋" w:eastAsia="仿宋" w:cs="仿宋"/>
          <w:color w:val="auto"/>
          <w:sz w:val="24"/>
          <w:szCs w:val="24"/>
          <w:highlight w:val="none"/>
          <w:u w:val="single"/>
          <w:lang w:val="en-US"/>
        </w:rPr>
        <w:t>赣州旅投景区管理集团有限公司</w:t>
      </w:r>
      <w:r>
        <w:rPr>
          <w:rStyle w:val="62"/>
          <w:rFonts w:hint="eastAsia" w:ascii="仿宋" w:hAnsi="仿宋" w:eastAsia="仿宋" w:cs="仿宋"/>
          <w:color w:val="auto"/>
          <w:sz w:val="24"/>
          <w:szCs w:val="24"/>
          <w:highlight w:val="none"/>
          <w:lang w:val="en-US"/>
        </w:rPr>
        <w:t>，合同签订单位为</w:t>
      </w:r>
      <w:r>
        <w:rPr>
          <w:rStyle w:val="62"/>
          <w:rFonts w:hint="eastAsia" w:ascii="仿宋" w:hAnsi="仿宋" w:eastAsia="仿宋" w:cs="仿宋"/>
          <w:color w:val="auto"/>
          <w:sz w:val="24"/>
          <w:szCs w:val="24"/>
          <w:highlight w:val="none"/>
          <w:u w:val="single"/>
          <w:lang w:val="en-US"/>
        </w:rPr>
        <w:t>赣州旅投景区管理集团有限公司</w:t>
      </w:r>
      <w:r>
        <w:rPr>
          <w:rStyle w:val="62"/>
          <w:rFonts w:hint="eastAsia" w:ascii="仿宋" w:hAnsi="仿宋" w:eastAsia="仿宋" w:cs="仿宋"/>
          <w:color w:val="auto"/>
          <w:sz w:val="24"/>
          <w:szCs w:val="24"/>
          <w:highlight w:val="none"/>
          <w:lang w:val="en-US"/>
        </w:rPr>
        <w:t>，项目资金来源为</w:t>
      </w:r>
      <w:r>
        <w:rPr>
          <w:rStyle w:val="62"/>
          <w:rFonts w:hint="eastAsia" w:ascii="仿宋" w:hAnsi="仿宋" w:eastAsia="仿宋" w:cs="仿宋"/>
          <w:color w:val="auto"/>
          <w:sz w:val="24"/>
          <w:szCs w:val="24"/>
          <w:highlight w:val="none"/>
          <w:u w:val="single"/>
          <w:lang w:val="en-US"/>
        </w:rPr>
        <w:t>企业自筹</w:t>
      </w:r>
      <w:r>
        <w:rPr>
          <w:rStyle w:val="62"/>
          <w:rFonts w:hint="eastAsia" w:ascii="仿宋" w:hAnsi="仿宋" w:eastAsia="仿宋" w:cs="仿宋"/>
          <w:color w:val="auto"/>
          <w:sz w:val="24"/>
          <w:szCs w:val="24"/>
          <w:highlight w:val="none"/>
          <w:u w:val="none"/>
          <w:lang w:val="en-US"/>
        </w:rPr>
        <w:t>，出资比例为</w:t>
      </w:r>
      <w:r>
        <w:rPr>
          <w:rStyle w:val="62"/>
          <w:rFonts w:hint="eastAsia" w:ascii="仿宋" w:hAnsi="仿宋" w:eastAsia="仿宋" w:cs="仿宋"/>
          <w:color w:val="auto"/>
          <w:sz w:val="24"/>
          <w:szCs w:val="24"/>
          <w:highlight w:val="none"/>
          <w:u w:val="single"/>
          <w:lang w:val="en-US"/>
        </w:rPr>
        <w:t>100%</w:t>
      </w:r>
      <w:r>
        <w:rPr>
          <w:rStyle w:val="62"/>
          <w:rFonts w:hint="eastAsia" w:ascii="仿宋" w:hAnsi="仿宋" w:eastAsia="仿宋" w:cs="仿宋"/>
          <w:color w:val="auto"/>
          <w:sz w:val="24"/>
          <w:szCs w:val="24"/>
          <w:highlight w:val="none"/>
          <w:u w:val="none"/>
          <w:lang w:val="en-US"/>
        </w:rPr>
        <w:t>。</w:t>
      </w:r>
      <w:r>
        <w:rPr>
          <w:rStyle w:val="62"/>
          <w:rFonts w:hint="eastAsia" w:ascii="仿宋" w:hAnsi="仿宋" w:eastAsia="仿宋" w:cs="仿宋"/>
          <w:color w:val="auto"/>
          <w:sz w:val="24"/>
          <w:szCs w:val="24"/>
          <w:highlight w:val="none"/>
          <w:lang w:val="en-US"/>
        </w:rPr>
        <w:t>项目已具备采购条件，现对该项目进行公开征集入围</w:t>
      </w:r>
      <w:r>
        <w:rPr>
          <w:rStyle w:val="62"/>
          <w:rFonts w:hint="eastAsia" w:ascii="仿宋" w:hAnsi="仿宋" w:eastAsia="仿宋" w:cs="仿宋"/>
          <w:color w:val="auto"/>
          <w:sz w:val="24"/>
          <w:szCs w:val="24"/>
          <w:highlight w:val="none"/>
          <w:lang w:val="en-US" w:eastAsia="zh-CN"/>
        </w:rPr>
        <w:t>框架协议供应商</w:t>
      </w:r>
      <w:r>
        <w:rPr>
          <w:rStyle w:val="62"/>
          <w:rFonts w:hint="eastAsia" w:ascii="仿宋" w:hAnsi="仿宋" w:eastAsia="仿宋" w:cs="仿宋"/>
          <w:color w:val="auto"/>
          <w:sz w:val="24"/>
          <w:szCs w:val="24"/>
          <w:highlight w:val="none"/>
          <w:lang w:val="en-US"/>
        </w:rPr>
        <w:t>。</w:t>
      </w:r>
    </w:p>
    <w:p w14:paraId="42CB49D7">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 w:name="_Toc16550"/>
      <w:r>
        <w:rPr>
          <w:rFonts w:hint="eastAsia" w:ascii="仿宋" w:hAnsi="仿宋" w:eastAsia="仿宋" w:cs="仿宋"/>
          <w:b/>
          <w:color w:val="auto"/>
          <w:kern w:val="0"/>
          <w:sz w:val="24"/>
          <w:szCs w:val="24"/>
          <w:highlight w:val="none"/>
          <w:lang w:val="en-US" w:eastAsia="zh-CN" w:bidi="ar-SA"/>
        </w:rPr>
        <w:t>2.项目概况与采购范围</w:t>
      </w:r>
      <w:bookmarkEnd w:id="2"/>
    </w:p>
    <w:p w14:paraId="476BDC9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赣州旅投景区管理集团有限公司家禽类产品2026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年度框架协议供应商入围征集项目</w:t>
      </w:r>
    </w:p>
    <w:p w14:paraId="28BE85D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服务期1年，按合同签订之日起12个日历月计算。</w:t>
      </w:r>
    </w:p>
    <w:p w14:paraId="38A19A5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项目需求：</w:t>
      </w:r>
    </w:p>
    <w:tbl>
      <w:tblPr>
        <w:tblStyle w:val="24"/>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6"/>
        <w:gridCol w:w="765"/>
        <w:gridCol w:w="765"/>
        <w:gridCol w:w="1668"/>
        <w:gridCol w:w="1200"/>
        <w:gridCol w:w="913"/>
      </w:tblGrid>
      <w:tr w14:paraId="648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3336" w:type="dxa"/>
            <w:vAlign w:val="center"/>
          </w:tcPr>
          <w:p w14:paraId="2DC06830">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765" w:type="dxa"/>
            <w:vAlign w:val="center"/>
          </w:tcPr>
          <w:p w14:paraId="4718B81F">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765" w:type="dxa"/>
            <w:vAlign w:val="center"/>
          </w:tcPr>
          <w:p w14:paraId="52010F48">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668" w:type="dxa"/>
            <w:vAlign w:val="center"/>
          </w:tcPr>
          <w:p w14:paraId="35554965">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主要技术规格及要求</w:t>
            </w:r>
          </w:p>
        </w:tc>
        <w:tc>
          <w:tcPr>
            <w:tcW w:w="1200" w:type="dxa"/>
            <w:vAlign w:val="center"/>
          </w:tcPr>
          <w:p w14:paraId="7C519E9A">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交货地点</w:t>
            </w:r>
          </w:p>
        </w:tc>
        <w:tc>
          <w:tcPr>
            <w:tcW w:w="913" w:type="dxa"/>
            <w:vAlign w:val="center"/>
          </w:tcPr>
          <w:p w14:paraId="7601398A">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采购</w:t>
            </w:r>
          </w:p>
          <w:p w14:paraId="5C09B284">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金额</w:t>
            </w:r>
          </w:p>
        </w:tc>
      </w:tr>
      <w:tr w14:paraId="4562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336" w:type="dxa"/>
            <w:vAlign w:val="center"/>
          </w:tcPr>
          <w:p w14:paraId="13541059">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赣州旅投景区管理集团有限公司家禽类产品2026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年度框架协议供应商入围征集项目</w:t>
            </w:r>
          </w:p>
        </w:tc>
        <w:tc>
          <w:tcPr>
            <w:tcW w:w="765" w:type="dxa"/>
            <w:vAlign w:val="center"/>
          </w:tcPr>
          <w:p w14:paraId="1B662489">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765" w:type="dxa"/>
            <w:vAlign w:val="center"/>
          </w:tcPr>
          <w:p w14:paraId="5E333684">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w:t>
            </w:r>
          </w:p>
        </w:tc>
        <w:tc>
          <w:tcPr>
            <w:tcW w:w="1668" w:type="dxa"/>
            <w:vAlign w:val="center"/>
          </w:tcPr>
          <w:p w14:paraId="4B6F89C8">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（具体内容详见</w:t>
            </w:r>
            <w:r>
              <w:rPr>
                <w:rFonts w:hint="eastAsia" w:ascii="仿宋" w:hAnsi="仿宋" w:eastAsia="仿宋" w:cs="仿宋"/>
                <w:color w:val="auto"/>
                <w:sz w:val="24"/>
                <w:szCs w:val="24"/>
                <w:highlight w:val="none"/>
                <w:lang w:val="en-US" w:eastAsia="zh-CN"/>
              </w:rPr>
              <w:t>征集</w:t>
            </w:r>
            <w:r>
              <w:rPr>
                <w:rFonts w:hint="eastAsia" w:ascii="仿宋" w:hAnsi="仿宋" w:eastAsia="仿宋" w:cs="仿宋"/>
                <w:color w:val="auto"/>
                <w:sz w:val="24"/>
                <w:szCs w:val="24"/>
                <w:highlight w:val="none"/>
              </w:rPr>
              <w:t>文件）</w:t>
            </w:r>
          </w:p>
        </w:tc>
        <w:tc>
          <w:tcPr>
            <w:tcW w:w="1200" w:type="dxa"/>
            <w:vAlign w:val="center"/>
          </w:tcPr>
          <w:p w14:paraId="652ECA7B">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江南宋城景区</w:t>
            </w:r>
          </w:p>
        </w:tc>
        <w:tc>
          <w:tcPr>
            <w:tcW w:w="913" w:type="dxa"/>
            <w:vAlign w:val="center"/>
          </w:tcPr>
          <w:p w14:paraId="5A938210">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约90万元</w:t>
            </w:r>
          </w:p>
        </w:tc>
      </w:tr>
      <w:tr w14:paraId="4BCE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734" w:type="dxa"/>
            <w:gridSpan w:val="5"/>
            <w:vAlign w:val="center"/>
          </w:tcPr>
          <w:p w14:paraId="49B43A62">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注：本项目只允许国内</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参与。</w:t>
            </w:r>
          </w:p>
        </w:tc>
        <w:tc>
          <w:tcPr>
            <w:tcW w:w="913" w:type="dxa"/>
            <w:vAlign w:val="center"/>
          </w:tcPr>
          <w:p w14:paraId="4CE66FA2">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eastAsia" w:ascii="仿宋" w:hAnsi="仿宋" w:eastAsia="仿宋" w:cs="仿宋"/>
                <w:color w:val="auto"/>
                <w:sz w:val="24"/>
                <w:szCs w:val="24"/>
                <w:highlight w:val="none"/>
              </w:rPr>
            </w:pPr>
          </w:p>
        </w:tc>
      </w:tr>
    </w:tbl>
    <w:p w14:paraId="4099E1BE">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3" w:name="_Toc8794"/>
      <w:r>
        <w:rPr>
          <w:rFonts w:hint="eastAsia" w:ascii="仿宋" w:hAnsi="仿宋" w:eastAsia="仿宋" w:cs="仿宋"/>
          <w:b/>
          <w:color w:val="auto"/>
          <w:kern w:val="0"/>
          <w:sz w:val="24"/>
          <w:szCs w:val="24"/>
          <w:highlight w:val="none"/>
          <w:lang w:val="en-US" w:eastAsia="zh-CN" w:bidi="ar-SA"/>
        </w:rPr>
        <w:t>3.供应商资格要求</w:t>
      </w:r>
      <w:bookmarkEnd w:id="3"/>
    </w:p>
    <w:p w14:paraId="4424C395">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本项目资格要求</w:t>
      </w:r>
    </w:p>
    <w:p w14:paraId="231068B5">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（1）具有独立承担民事责任的能力，持有有效的营业执照；</w:t>
      </w:r>
    </w:p>
    <w:p w14:paraId="2ED5B59E">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（2）具有良好的商业信誉和健全的财务会计制度；</w:t>
      </w:r>
    </w:p>
    <w:p w14:paraId="3CD845DD">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4212D316">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（4）有依法缴纳税收的良好记录；</w:t>
      </w:r>
    </w:p>
    <w:p w14:paraId="15352329">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（5）参加比选采购活动前三年内，在经营活动中没有重大违法记录。</w:t>
      </w:r>
    </w:p>
    <w:p w14:paraId="78B1971B">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（6）业绩要求：供应商近5年内（签订时间为2021年7月1日至投标截止时间前）独立承接过家禽类供应项目至少提供1个合同。</w:t>
      </w:r>
    </w:p>
    <w:p w14:paraId="049ACA32">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其他要求</w:t>
      </w:r>
    </w:p>
    <w:p w14:paraId="76E1D44F">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单位负责人为同一人或者存在直接控股、管理关系的不同供应商，不得参加同一合同项下的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77205491">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08BCBFDC">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（3）供应商的分支机构不得参加本次采购，特殊行业（仅限于银行、保险、石油石化、电力、电信行业）供应商允许其分支机构参加本次采购。</w:t>
      </w:r>
    </w:p>
    <w:p w14:paraId="347B2F66">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 w:name="_Toc15042"/>
      <w:r>
        <w:rPr>
          <w:rFonts w:hint="eastAsia" w:ascii="仿宋" w:hAnsi="仿宋" w:eastAsia="仿宋" w:cs="仿宋"/>
          <w:b/>
          <w:color w:val="auto"/>
          <w:kern w:val="0"/>
          <w:sz w:val="24"/>
          <w:szCs w:val="24"/>
          <w:highlight w:val="none"/>
          <w:lang w:val="en-US" w:eastAsia="zh-CN" w:bidi="ar-SA"/>
        </w:rPr>
        <w:t>4.征集文件的获取</w:t>
      </w:r>
      <w:bookmarkEnd w:id="4"/>
    </w:p>
    <w:p w14:paraId="46E8E26D">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公告页自行下载附件</w:t>
      </w:r>
      <w:r>
        <w:rPr>
          <w:rFonts w:hint="eastAsia" w:ascii="仿宋" w:hAnsi="仿宋" w:eastAsia="仿宋" w:cs="仿宋"/>
          <w:color w:val="auto"/>
          <w:sz w:val="24"/>
          <w:szCs w:val="24"/>
          <w:highlight w:val="none"/>
        </w:rPr>
        <w:t>。</w:t>
      </w:r>
    </w:p>
    <w:p w14:paraId="4A2BFE1F">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5" w:name="_Toc9326"/>
      <w:r>
        <w:rPr>
          <w:rFonts w:hint="eastAsia" w:ascii="仿宋" w:hAnsi="仿宋" w:eastAsia="仿宋" w:cs="仿宋"/>
          <w:b/>
          <w:color w:val="auto"/>
          <w:kern w:val="0"/>
          <w:sz w:val="24"/>
          <w:szCs w:val="24"/>
          <w:highlight w:val="none"/>
          <w:lang w:val="en-US" w:eastAsia="zh-CN" w:bidi="ar-SA"/>
        </w:rPr>
        <w:t>5.响应文件的递交</w:t>
      </w:r>
      <w:bookmarkEnd w:id="5"/>
    </w:p>
    <w:p w14:paraId="253595B4">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eastAsia="zh-Hans"/>
        </w:rPr>
      </w:pPr>
      <w:r>
        <w:rPr>
          <w:rStyle w:val="62"/>
          <w:rFonts w:hint="eastAsia" w:ascii="仿宋" w:hAnsi="仿宋" w:eastAsia="仿宋" w:cs="仿宋"/>
          <w:color w:val="auto"/>
          <w:sz w:val="24"/>
          <w:szCs w:val="24"/>
          <w:highlight w:val="none"/>
          <w:lang w:val="en-US"/>
        </w:rPr>
        <w:t>供应商应根据</w:t>
      </w:r>
      <w:r>
        <w:rPr>
          <w:rStyle w:val="62"/>
          <w:rFonts w:hint="eastAsia" w:ascii="仿宋" w:hAnsi="仿宋" w:eastAsia="仿宋" w:cs="仿宋"/>
          <w:color w:val="auto"/>
          <w:sz w:val="24"/>
          <w:szCs w:val="24"/>
          <w:highlight w:val="none"/>
          <w:lang w:val="en-US" w:eastAsia="zh-CN"/>
        </w:rPr>
        <w:t>征集</w:t>
      </w:r>
      <w:r>
        <w:rPr>
          <w:rStyle w:val="62"/>
          <w:rFonts w:hint="eastAsia" w:ascii="仿宋" w:hAnsi="仿宋" w:eastAsia="仿宋" w:cs="仿宋"/>
          <w:color w:val="auto"/>
          <w:sz w:val="24"/>
          <w:szCs w:val="24"/>
          <w:highlight w:val="none"/>
          <w:lang w:val="en-US"/>
        </w:rPr>
        <w:t>文件的要求编制响应文件，</w:t>
      </w:r>
      <w:r>
        <w:rPr>
          <w:rStyle w:val="62"/>
          <w:rFonts w:hint="eastAsia" w:ascii="仿宋" w:hAnsi="仿宋" w:eastAsia="仿宋" w:cs="仿宋"/>
          <w:color w:val="auto"/>
          <w:sz w:val="24"/>
          <w:szCs w:val="24"/>
          <w:highlight w:val="none"/>
          <w:lang w:val="en-US" w:eastAsia="zh-CN"/>
        </w:rPr>
        <w:t>在响应截止时间前，将响应文件递交至江西省赣州市章贡区江南宋城历史文化旅游区百家岭8号1楼会议室</w:t>
      </w:r>
      <w:r>
        <w:rPr>
          <w:rStyle w:val="62"/>
          <w:rFonts w:hint="eastAsia" w:ascii="仿宋" w:hAnsi="仿宋" w:eastAsia="仿宋" w:cs="仿宋"/>
          <w:color w:val="auto"/>
          <w:sz w:val="24"/>
          <w:szCs w:val="24"/>
          <w:highlight w:val="none"/>
          <w:lang w:val="en-US"/>
        </w:rPr>
        <w:t>。</w:t>
      </w:r>
    </w:p>
    <w:p w14:paraId="43E883A7">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6" w:name="_Toc19569"/>
      <w:r>
        <w:rPr>
          <w:rFonts w:hint="eastAsia" w:ascii="仿宋" w:hAnsi="仿宋" w:eastAsia="仿宋" w:cs="仿宋"/>
          <w:b/>
          <w:color w:val="auto"/>
          <w:kern w:val="0"/>
          <w:sz w:val="24"/>
          <w:szCs w:val="24"/>
          <w:highlight w:val="none"/>
          <w:lang w:val="en-US" w:eastAsia="zh-CN" w:bidi="ar-SA"/>
        </w:rPr>
        <w:t>6.响应文件的开启</w:t>
      </w:r>
      <w:bookmarkEnd w:id="6"/>
    </w:p>
    <w:p w14:paraId="57024291">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rPr>
      </w:pPr>
      <w:r>
        <w:rPr>
          <w:rStyle w:val="62"/>
          <w:rFonts w:hint="eastAsia" w:ascii="仿宋" w:hAnsi="仿宋" w:eastAsia="仿宋" w:cs="仿宋"/>
          <w:color w:val="auto"/>
          <w:sz w:val="24"/>
          <w:szCs w:val="24"/>
          <w:highlight w:val="none"/>
          <w:lang w:val="en-US" w:eastAsia="zh-CN"/>
        </w:rPr>
        <w:t>1.</w:t>
      </w:r>
      <w:r>
        <w:rPr>
          <w:rStyle w:val="62"/>
          <w:rFonts w:hint="eastAsia" w:ascii="仿宋" w:hAnsi="仿宋" w:eastAsia="仿宋" w:cs="仿宋"/>
          <w:color w:val="auto"/>
          <w:sz w:val="24"/>
          <w:szCs w:val="24"/>
          <w:highlight w:val="none"/>
          <w:lang w:val="en-US"/>
        </w:rPr>
        <w:t>响应截止时间和</w:t>
      </w:r>
      <w:r>
        <w:rPr>
          <w:rStyle w:val="62"/>
          <w:rFonts w:hint="eastAsia" w:ascii="仿宋" w:hAnsi="仿宋" w:eastAsia="仿宋" w:cs="仿宋"/>
          <w:color w:val="auto"/>
          <w:sz w:val="24"/>
          <w:szCs w:val="24"/>
          <w:highlight w:val="none"/>
          <w:lang w:val="en-US" w:eastAsia="zh-CN"/>
        </w:rPr>
        <w:t>开启</w:t>
      </w:r>
      <w:r>
        <w:rPr>
          <w:rStyle w:val="62"/>
          <w:rFonts w:hint="eastAsia" w:ascii="仿宋" w:hAnsi="仿宋" w:eastAsia="仿宋" w:cs="仿宋"/>
          <w:color w:val="auto"/>
          <w:sz w:val="24"/>
          <w:szCs w:val="24"/>
          <w:highlight w:val="none"/>
          <w:lang w:val="en-US"/>
        </w:rPr>
        <w:t>时间：</w:t>
      </w:r>
      <w:r>
        <w:rPr>
          <w:rStyle w:val="62"/>
          <w:rFonts w:hint="eastAsia" w:ascii="仿宋" w:hAnsi="仿宋" w:eastAsia="仿宋" w:cs="仿宋"/>
          <w:color w:val="auto"/>
          <w:sz w:val="24"/>
          <w:szCs w:val="24"/>
          <w:highlight w:val="none"/>
          <w:lang w:val="en-US" w:eastAsia="zh-CN"/>
        </w:rPr>
        <w:t xml:space="preserve"> 2026年8月6日10 </w:t>
      </w:r>
      <w:r>
        <w:rPr>
          <w:rStyle w:val="62"/>
          <w:rFonts w:hint="eastAsia" w:ascii="仿宋" w:hAnsi="仿宋" w:eastAsia="仿宋" w:cs="仿宋"/>
          <w:color w:val="auto"/>
          <w:sz w:val="24"/>
          <w:szCs w:val="24"/>
          <w:highlight w:val="none"/>
          <w:lang w:val="en-US"/>
        </w:rPr>
        <w:t>时（北京时间）。</w:t>
      </w:r>
    </w:p>
    <w:p w14:paraId="2177C14F">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eastAsia="zh-CN"/>
        </w:rPr>
      </w:pPr>
      <w:r>
        <w:rPr>
          <w:rStyle w:val="62"/>
          <w:rFonts w:hint="eastAsia" w:ascii="仿宋" w:hAnsi="仿宋" w:eastAsia="仿宋" w:cs="仿宋"/>
          <w:color w:val="auto"/>
          <w:sz w:val="24"/>
          <w:szCs w:val="24"/>
          <w:highlight w:val="none"/>
          <w:lang w:val="en-US" w:eastAsia="zh-CN"/>
        </w:rPr>
        <w:t>2.响应文件开启、评审</w:t>
      </w:r>
      <w:r>
        <w:rPr>
          <w:rStyle w:val="62"/>
          <w:rFonts w:hint="eastAsia" w:ascii="仿宋" w:hAnsi="仿宋" w:eastAsia="仿宋" w:cs="仿宋"/>
          <w:color w:val="auto"/>
          <w:sz w:val="24"/>
          <w:szCs w:val="24"/>
          <w:highlight w:val="none"/>
          <w:lang w:val="en-US"/>
        </w:rPr>
        <w:t>地点：</w:t>
      </w:r>
      <w:r>
        <w:rPr>
          <w:rStyle w:val="62"/>
          <w:rFonts w:hint="eastAsia" w:ascii="仿宋" w:hAnsi="仿宋" w:eastAsia="仿宋" w:cs="仿宋"/>
          <w:color w:val="auto"/>
          <w:sz w:val="24"/>
          <w:szCs w:val="24"/>
          <w:highlight w:val="none"/>
          <w:lang w:val="en-US" w:eastAsia="zh-CN"/>
        </w:rPr>
        <w:t>江西省赣州市章贡区江南宋城历史文化旅游区百家岭8号1楼会议室</w:t>
      </w:r>
    </w:p>
    <w:p w14:paraId="725455DC">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7" w:name="_Toc27719"/>
      <w:r>
        <w:rPr>
          <w:rFonts w:hint="eastAsia" w:ascii="仿宋" w:hAnsi="仿宋" w:eastAsia="仿宋" w:cs="仿宋"/>
          <w:b/>
          <w:color w:val="auto"/>
          <w:kern w:val="0"/>
          <w:sz w:val="24"/>
          <w:szCs w:val="24"/>
          <w:highlight w:val="none"/>
          <w:lang w:val="en-US" w:eastAsia="zh-CN" w:bidi="ar-SA"/>
        </w:rPr>
        <w:t>7.合同签订及付款条件</w:t>
      </w:r>
      <w:bookmarkEnd w:id="7"/>
    </w:p>
    <w:p w14:paraId="64D34ECA">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7.1合同签订：</w:t>
      </w:r>
    </w:p>
    <w:p w14:paraId="4FB21A99">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（1）入围框架协议供应商与赣州旅投景区管理集团有限公司签订框架协议，框架协议内供应商依据排名选定成交供应商签订正式采购合同。</w:t>
      </w:r>
    </w:p>
    <w:p w14:paraId="4E886C3F">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（2）实行履约保证金担保，接到成交通知书后7天内提交壹万元整（小写：10000元）履约保证金，合同履约完成无息退还。</w:t>
      </w:r>
    </w:p>
    <w:p w14:paraId="2E354460">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7.2付款条件：</w:t>
      </w:r>
    </w:p>
    <w:p w14:paraId="37FBC568">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按月据实结算。结算周期为每个自然月（如1月的结算周期为1月1日至1月31日）。供应商应于每月5日前，就上月的账目与采购人进行核对。经双方核对无误后，供应商须按照采购人提供的统一模板制作电子版对账单，并将该对账周期内完整的送货单凭证整理成册，一并提交给采购人。采购人确认无误后，通知供应商签署书面结算清单，并同步提供开票明细。供应商应在付款前向采购人开具与结算金额等额的增值税专用发票。采购人收到合规发票后，按约定支付相应款项。</w:t>
      </w:r>
    </w:p>
    <w:p w14:paraId="67FF450C">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本次采购为赣州旅投景区管理集团有限公司经营性采购，食材使用方为江南宋城景区内私营商户，为避免因进项不足额抵扣销项导致的亏损，若中标单位为小规模纳税人，则在不含税采购价基础上，付款时扣除因进项不足导致招标人的税负损失，计算方式为：扣除金额=不含税采购价×（一般纳税人税率-小规模纳税人税率）×（1+招标人附加税率），请各小规模纳税人综合考虑后进行响应下浮报价。</w:t>
      </w:r>
    </w:p>
    <w:p w14:paraId="086F57FB">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（3）在免征增值税政策范围内的产品，可按税收规定开具相应免税发票，不进行税金差额扣款。流通环节征税的农产品，小规模纳税人可提供3%征收率的专用发票，不进行税金差额扣款。</w:t>
      </w:r>
    </w:p>
    <w:p w14:paraId="628FE70C">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8" w:name="_Toc12369"/>
      <w:r>
        <w:rPr>
          <w:rFonts w:hint="eastAsia" w:ascii="仿宋" w:hAnsi="仿宋" w:eastAsia="仿宋" w:cs="仿宋"/>
          <w:b/>
          <w:color w:val="auto"/>
          <w:kern w:val="0"/>
          <w:sz w:val="24"/>
          <w:szCs w:val="24"/>
          <w:highlight w:val="none"/>
          <w:lang w:val="en-US" w:eastAsia="zh-CN" w:bidi="ar-SA"/>
        </w:rPr>
        <w:t>8.发布公告的媒介</w:t>
      </w:r>
      <w:bookmarkEnd w:id="8"/>
    </w:p>
    <w:p w14:paraId="57C51D88">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lang w:val="en-US" w:eastAsia="zh-CN"/>
        </w:rPr>
        <w:t>征集</w:t>
      </w:r>
      <w:r>
        <w:rPr>
          <w:rFonts w:hint="eastAsia" w:ascii="仿宋" w:hAnsi="仿宋" w:eastAsia="仿宋" w:cs="仿宋"/>
          <w:color w:val="auto"/>
          <w:sz w:val="24"/>
          <w:szCs w:val="24"/>
          <w:highlight w:val="none"/>
        </w:rPr>
        <w:t>公告在</w:t>
      </w:r>
      <w:r>
        <w:rPr>
          <w:rFonts w:hint="eastAsia" w:ascii="仿宋" w:hAnsi="仿宋" w:eastAsia="仿宋" w:cs="仿宋"/>
          <w:color w:val="auto"/>
          <w:sz w:val="24"/>
          <w:szCs w:val="24"/>
          <w:highlight w:val="none"/>
          <w:u w:val="single"/>
          <w:lang w:eastAsia="zh-CN"/>
        </w:rPr>
        <w:t>赣州旅游投资集团官网、宋潮</w:t>
      </w:r>
      <w:r>
        <w:rPr>
          <w:rFonts w:hint="eastAsia" w:ascii="仿宋" w:hAnsi="仿宋" w:eastAsia="仿宋" w:cs="仿宋"/>
          <w:color w:val="auto"/>
          <w:sz w:val="24"/>
          <w:szCs w:val="24"/>
          <w:highlight w:val="none"/>
          <w:u w:val="single"/>
          <w:lang w:val="en-US" w:eastAsia="zh-CN"/>
        </w:rPr>
        <w:t>不夜城资讯</w:t>
      </w:r>
      <w:r>
        <w:rPr>
          <w:rFonts w:hint="eastAsia" w:ascii="仿宋" w:hAnsi="仿宋" w:eastAsia="仿宋" w:cs="仿宋"/>
          <w:color w:val="auto"/>
          <w:sz w:val="24"/>
          <w:szCs w:val="24"/>
          <w:highlight w:val="none"/>
          <w:u w:val="single"/>
          <w:lang w:eastAsia="zh-CN"/>
        </w:rPr>
        <w:t>平台</w:t>
      </w:r>
      <w:r>
        <w:rPr>
          <w:rFonts w:hint="eastAsia" w:ascii="仿宋" w:hAnsi="仿宋" w:eastAsia="仿宋" w:cs="仿宋"/>
          <w:color w:val="auto"/>
          <w:sz w:val="24"/>
          <w:szCs w:val="24"/>
          <w:highlight w:val="none"/>
        </w:rPr>
        <w:t>发布。</w:t>
      </w:r>
    </w:p>
    <w:p w14:paraId="40A5DA2C">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9" w:name="_Toc30718"/>
      <w:r>
        <w:rPr>
          <w:rFonts w:hint="eastAsia" w:ascii="仿宋" w:hAnsi="仿宋" w:eastAsia="仿宋" w:cs="仿宋"/>
          <w:b/>
          <w:color w:val="auto"/>
          <w:kern w:val="0"/>
          <w:sz w:val="24"/>
          <w:szCs w:val="24"/>
          <w:highlight w:val="none"/>
          <w:lang w:val="en-US" w:eastAsia="zh-CN" w:bidi="ar-SA"/>
        </w:rPr>
        <w:t>9.联系方式</w:t>
      </w:r>
      <w:bookmarkEnd w:id="9"/>
    </w:p>
    <w:p w14:paraId="15798D0E">
      <w:pPr>
        <w:keepNext w:val="0"/>
        <w:keepLines w:val="0"/>
        <w:pageBreakBefore w:val="0"/>
        <w:widowControl/>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人信息</w:t>
      </w:r>
    </w:p>
    <w:p w14:paraId="53F57CE5">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u w:val="single"/>
          <w:lang w:eastAsia="zh-CN"/>
        </w:rPr>
        <w:t>赣州旅投景区管理集团有限公司</w:t>
      </w:r>
    </w:p>
    <w:p w14:paraId="33EAFB4C">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江西省赣州市章贡区江南宋城历史文化旅游区百家岭8号1楼会议室</w:t>
      </w:r>
    </w:p>
    <w:p w14:paraId="443A100E">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none"/>
        </w:rPr>
        <w:t>联系</w:t>
      </w:r>
      <w:r>
        <w:rPr>
          <w:rFonts w:hint="eastAsia" w:ascii="仿宋" w:hAnsi="仿宋" w:eastAsia="仿宋" w:cs="仿宋"/>
          <w:color w:val="auto"/>
          <w:sz w:val="24"/>
          <w:szCs w:val="24"/>
          <w:highlight w:val="none"/>
          <w:u w:val="none"/>
          <w:lang w:val="en-US" w:eastAsia="zh-CN"/>
        </w:rPr>
        <w:t>人及联系</w:t>
      </w:r>
      <w:r>
        <w:rPr>
          <w:rFonts w:hint="eastAsia" w:ascii="仿宋" w:hAnsi="仿宋" w:eastAsia="仿宋" w:cs="仿宋"/>
          <w:color w:val="auto"/>
          <w:sz w:val="24"/>
          <w:szCs w:val="24"/>
          <w:highlight w:val="none"/>
          <w:u w:val="none"/>
        </w:rPr>
        <w:t>方式：</w:t>
      </w:r>
      <w:r>
        <w:rPr>
          <w:rFonts w:hint="eastAsia" w:ascii="仿宋" w:hAnsi="仿宋" w:eastAsia="仿宋" w:cs="仿宋"/>
          <w:color w:val="auto"/>
          <w:sz w:val="24"/>
          <w:szCs w:val="24"/>
          <w:highlight w:val="none"/>
          <w:u w:val="single"/>
          <w:lang w:val="en-US" w:eastAsia="zh-CN"/>
        </w:rPr>
        <w:t xml:space="preserve"> 汤俊 18070374336 </w:t>
      </w:r>
    </w:p>
    <w:p w14:paraId="3ED2BAD9">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9.2</w:t>
      </w:r>
      <w:r>
        <w:rPr>
          <w:rFonts w:hint="eastAsia" w:ascii="仿宋" w:hAnsi="仿宋" w:eastAsia="仿宋" w:cs="仿宋"/>
          <w:color w:val="auto"/>
          <w:sz w:val="24"/>
          <w:szCs w:val="24"/>
          <w:highlight w:val="none"/>
        </w:rPr>
        <w:t>监督部门及联系方式</w:t>
      </w:r>
    </w:p>
    <w:p w14:paraId="6BC6DF63">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监督部门：</w:t>
      </w:r>
      <w:r>
        <w:rPr>
          <w:rFonts w:hint="eastAsia" w:ascii="仿宋" w:hAnsi="仿宋" w:eastAsia="仿宋" w:cs="仿宋"/>
          <w:color w:val="auto"/>
          <w:sz w:val="24"/>
          <w:szCs w:val="24"/>
          <w:highlight w:val="none"/>
          <w:u w:val="single"/>
        </w:rPr>
        <w:t>赣州市纪委市监委驻旅投集团纪检监察组</w:t>
      </w:r>
    </w:p>
    <w:p w14:paraId="571540A7">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rPr>
        <w:t>江西省赣州市章贡区赣江源大道15号</w:t>
      </w:r>
    </w:p>
    <w:p w14:paraId="5429D8A4">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r>
        <w:rPr>
          <w:rFonts w:hint="eastAsia" w:ascii="仿宋" w:hAnsi="仿宋" w:eastAsia="仿宋" w:cs="仿宋"/>
          <w:bCs/>
          <w:color w:val="auto"/>
          <w:sz w:val="24"/>
          <w:szCs w:val="24"/>
          <w:highlight w:val="none"/>
        </w:rPr>
        <w:t>电话：</w:t>
      </w:r>
      <w:r>
        <w:rPr>
          <w:rFonts w:hint="eastAsia" w:ascii="仿宋" w:hAnsi="仿宋" w:eastAsia="仿宋" w:cs="仿宋"/>
          <w:bCs/>
          <w:color w:val="auto"/>
          <w:sz w:val="24"/>
          <w:szCs w:val="24"/>
          <w:highlight w:val="none"/>
          <w:u w:val="single"/>
        </w:rPr>
        <w:t>0797-</w:t>
      </w:r>
      <w:r>
        <w:rPr>
          <w:rFonts w:hint="eastAsia" w:ascii="仿宋" w:hAnsi="仿宋" w:eastAsia="仿宋" w:cs="仿宋"/>
          <w:bCs/>
          <w:color w:val="auto"/>
          <w:sz w:val="24"/>
          <w:szCs w:val="24"/>
          <w:highlight w:val="none"/>
          <w:u w:val="single"/>
          <w:lang w:val="en-US" w:eastAsia="zh-CN"/>
        </w:rPr>
        <w:t>5550580</w:t>
      </w:r>
    </w:p>
    <w:p w14:paraId="630046FB">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p>
    <w:p w14:paraId="6CD2BF9C">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p>
    <w:p w14:paraId="66F52021">
      <w:pPr>
        <w:pStyle w:val="15"/>
        <w:keepNext w:val="0"/>
        <w:keepLines w:val="0"/>
        <w:pageBreakBefore w:val="0"/>
        <w:kinsoku/>
        <w:wordWrap/>
        <w:overflowPunct/>
        <w:topLinePunct w:val="0"/>
        <w:autoSpaceDE/>
        <w:autoSpaceDN/>
        <w:bidi w:val="0"/>
        <w:spacing w:line="500" w:lineRule="exact"/>
        <w:ind w:firstLine="480" w:firstLineChars="200"/>
        <w:jc w:val="right"/>
        <w:textAlignment w:val="auto"/>
        <w:rPr>
          <w:rFonts w:hint="eastAsia" w:ascii="仿宋" w:hAnsi="仿宋" w:eastAsia="仿宋" w:cs="仿宋"/>
          <w:bCs/>
          <w:color w:val="auto"/>
          <w:sz w:val="24"/>
          <w:szCs w:val="24"/>
          <w:highlight w:val="none"/>
          <w:u w:val="none"/>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color w:val="auto"/>
          <w:sz w:val="24"/>
          <w:szCs w:val="24"/>
          <w:highlight w:val="none"/>
          <w:u w:val="single"/>
          <w:lang w:val="en-US" w:eastAsia="zh-CN"/>
        </w:rPr>
        <w:t>2026</w:t>
      </w:r>
      <w:r>
        <w:rPr>
          <w:rFonts w:hint="eastAsia" w:ascii="仿宋" w:hAnsi="仿宋" w:eastAsia="仿宋" w:cs="仿宋"/>
          <w:bCs/>
          <w:color w:val="auto"/>
          <w:sz w:val="24"/>
          <w:szCs w:val="24"/>
          <w:highlight w:val="none"/>
          <w:u w:val="none"/>
          <w:lang w:val="en-US" w:eastAsia="zh-CN"/>
        </w:rPr>
        <w:t>年</w:t>
      </w:r>
      <w:r>
        <w:rPr>
          <w:rFonts w:hint="eastAsia" w:ascii="仿宋" w:hAnsi="仿宋" w:eastAsia="仿宋" w:cs="仿宋"/>
          <w:bCs/>
          <w:color w:val="auto"/>
          <w:sz w:val="24"/>
          <w:szCs w:val="24"/>
          <w:highlight w:val="none"/>
          <w:u w:val="single"/>
          <w:lang w:val="en-US" w:eastAsia="zh-CN"/>
        </w:rPr>
        <w:t>7</w:t>
      </w:r>
      <w:r>
        <w:rPr>
          <w:rFonts w:hint="eastAsia" w:ascii="仿宋" w:hAnsi="仿宋" w:eastAsia="仿宋" w:cs="仿宋"/>
          <w:bCs/>
          <w:color w:val="auto"/>
          <w:sz w:val="24"/>
          <w:szCs w:val="24"/>
          <w:highlight w:val="none"/>
          <w:u w:val="none"/>
          <w:lang w:val="en-US" w:eastAsia="zh-CN"/>
        </w:rPr>
        <w:t>月</w:t>
      </w:r>
      <w:r>
        <w:rPr>
          <w:rFonts w:hint="eastAsia" w:ascii="仿宋" w:hAnsi="仿宋" w:eastAsia="仿宋" w:cs="仿宋"/>
          <w:bCs/>
          <w:color w:val="auto"/>
          <w:sz w:val="24"/>
          <w:szCs w:val="24"/>
          <w:highlight w:val="none"/>
          <w:u w:val="single"/>
          <w:lang w:val="en-US" w:eastAsia="zh-CN"/>
        </w:rPr>
        <w:t>17</w:t>
      </w:r>
      <w:r>
        <w:rPr>
          <w:rFonts w:hint="eastAsia" w:ascii="仿宋" w:hAnsi="仿宋" w:eastAsia="仿宋" w:cs="仿宋"/>
          <w:bCs/>
          <w:color w:val="auto"/>
          <w:sz w:val="24"/>
          <w:szCs w:val="24"/>
          <w:highlight w:val="none"/>
          <w:u w:val="none"/>
          <w:lang w:val="en-US" w:eastAsia="zh-CN"/>
        </w:rPr>
        <w:t>日</w:t>
      </w:r>
    </w:p>
    <w:p w14:paraId="0ECE3374">
      <w:pPr>
        <w:keepNext w:val="0"/>
        <w:keepLines w:val="0"/>
        <w:pageBreakBefore w:val="0"/>
        <w:widowControl w:val="0"/>
        <w:kinsoku/>
        <w:wordWrap/>
        <w:overflowPunct/>
        <w:topLinePunct w:val="0"/>
        <w:autoSpaceDE/>
        <w:autoSpaceDN/>
        <w:bidi w:val="0"/>
        <w:adjustRightInd/>
        <w:snapToGrid/>
        <w:spacing w:after="200" w:line="520" w:lineRule="exact"/>
        <w:jc w:val="center"/>
        <w:textAlignment w:val="auto"/>
        <w:outlineLvl w:val="1"/>
        <w:rPr>
          <w:rFonts w:hint="eastAsia" w:ascii="仿宋" w:hAnsi="仿宋" w:eastAsia="仿宋" w:cs="仿宋"/>
          <w:b/>
          <w:bCs/>
          <w:color w:val="auto"/>
          <w:sz w:val="44"/>
          <w:szCs w:val="44"/>
          <w:highlight w:val="none"/>
        </w:rPr>
      </w:pPr>
      <w:bookmarkStart w:id="10" w:name="_Toc10828"/>
      <w:bookmarkStart w:id="11" w:name="投标人须知"/>
      <w:r>
        <w:rPr>
          <w:rFonts w:hint="eastAsia" w:ascii="仿宋" w:hAnsi="仿宋" w:eastAsia="仿宋" w:cs="仿宋"/>
          <w:b/>
          <w:bCs/>
          <w:color w:val="auto"/>
          <w:sz w:val="44"/>
          <w:szCs w:val="44"/>
          <w:highlight w:val="none"/>
        </w:rPr>
        <w:t>第二</w:t>
      </w:r>
      <w:r>
        <w:rPr>
          <w:rFonts w:hint="eastAsia" w:ascii="仿宋" w:hAnsi="仿宋" w:eastAsia="仿宋" w:cs="仿宋"/>
          <w:b/>
          <w:bCs/>
          <w:color w:val="auto"/>
          <w:sz w:val="44"/>
          <w:szCs w:val="44"/>
          <w:highlight w:val="none"/>
          <w:lang w:val="en-US" w:eastAsia="zh-CN"/>
        </w:rPr>
        <w:t>章</w:t>
      </w:r>
      <w:r>
        <w:rPr>
          <w:rFonts w:hint="eastAsia" w:ascii="仿宋" w:hAnsi="仿宋" w:eastAsia="仿宋" w:cs="仿宋"/>
          <w:b/>
          <w:bCs/>
          <w:color w:val="auto"/>
          <w:sz w:val="44"/>
          <w:szCs w:val="44"/>
          <w:highlight w:val="none"/>
        </w:rPr>
        <w:t xml:space="preserve">  </w:t>
      </w:r>
      <w:r>
        <w:rPr>
          <w:rFonts w:hint="eastAsia" w:ascii="仿宋" w:hAnsi="仿宋" w:eastAsia="仿宋" w:cs="仿宋"/>
          <w:b/>
          <w:bCs/>
          <w:color w:val="auto"/>
          <w:sz w:val="44"/>
          <w:szCs w:val="44"/>
          <w:highlight w:val="none"/>
          <w:lang w:val="en-US" w:eastAsia="zh-CN"/>
        </w:rPr>
        <w:t>供应商</w:t>
      </w:r>
      <w:r>
        <w:rPr>
          <w:rFonts w:hint="eastAsia" w:ascii="仿宋" w:hAnsi="仿宋" w:eastAsia="仿宋" w:cs="仿宋"/>
          <w:b/>
          <w:bCs/>
          <w:color w:val="auto"/>
          <w:sz w:val="44"/>
          <w:szCs w:val="44"/>
          <w:highlight w:val="none"/>
        </w:rPr>
        <w:t>须知</w:t>
      </w:r>
      <w:bookmarkEnd w:id="10"/>
      <w:bookmarkEnd w:id="11"/>
    </w:p>
    <w:p w14:paraId="6A89E4F4">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2" w:name="_Toc26965"/>
      <w:bookmarkStart w:id="13" w:name="投标格式"/>
      <w:r>
        <w:rPr>
          <w:rFonts w:hint="eastAsia" w:ascii="仿宋" w:hAnsi="仿宋" w:eastAsia="仿宋" w:cs="仿宋"/>
          <w:b/>
          <w:color w:val="auto"/>
          <w:kern w:val="0"/>
          <w:sz w:val="24"/>
          <w:szCs w:val="24"/>
          <w:highlight w:val="none"/>
          <w:lang w:val="en-US" w:eastAsia="zh-CN" w:bidi="ar-SA"/>
        </w:rPr>
        <w:t>1.采购项目概况</w:t>
      </w:r>
      <w:bookmarkEnd w:id="12"/>
    </w:p>
    <w:p w14:paraId="35000729">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人：</w:t>
      </w:r>
      <w:r>
        <w:rPr>
          <w:rFonts w:hint="eastAsia" w:ascii="仿宋" w:hAnsi="仿宋" w:eastAsia="仿宋" w:cs="仿宋"/>
          <w:color w:val="auto"/>
          <w:sz w:val="24"/>
          <w:szCs w:val="24"/>
          <w:highlight w:val="none"/>
          <w:u w:val="none"/>
          <w:lang w:eastAsia="zh-CN"/>
        </w:rPr>
        <w:t>赣州旅投景区管理集团有限公司</w:t>
      </w:r>
    </w:p>
    <w:p w14:paraId="67205317">
      <w:pPr>
        <w:keepNext w:val="0"/>
        <w:keepLines w:val="0"/>
        <w:pageBreakBefore w:val="0"/>
        <w:numPr>
          <w:ilvl w:val="-1"/>
          <w:numId w:val="0"/>
        </w:numPr>
        <w:kinsoku/>
        <w:wordWrap/>
        <w:overflowPunct/>
        <w:topLinePunct w:val="0"/>
        <w:autoSpaceDE/>
        <w:autoSpaceDN/>
        <w:bidi w:val="0"/>
        <w:adjustRightInd/>
        <w:snapToGrid/>
        <w:spacing w:line="500" w:lineRule="exact"/>
        <w:ind w:firstLine="480"/>
        <w:jc w:val="left"/>
        <w:textAlignment w:val="auto"/>
        <w:rPr>
          <w:rFonts w:hint="eastAsia" w:ascii="仿宋" w:hAnsi="仿宋" w:eastAsia="仿宋" w:cs="仿宋"/>
          <w:b/>
          <w:color w:val="auto"/>
          <w:kern w:val="0"/>
          <w:sz w:val="24"/>
          <w:szCs w:val="24"/>
          <w:highlight w:val="none"/>
          <w:lang w:val="en-US" w:eastAsia="zh-CN" w:bidi="ar-SA"/>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赣州旅投景区管理集团有限公司家禽类产品2026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年度框架协议供应商入围征集项目。</w:t>
      </w:r>
    </w:p>
    <w:p w14:paraId="4A7F9149">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4" w:name="_Toc5259"/>
      <w:r>
        <w:rPr>
          <w:rFonts w:hint="eastAsia" w:ascii="仿宋" w:hAnsi="仿宋" w:eastAsia="仿宋" w:cs="仿宋"/>
          <w:b/>
          <w:color w:val="auto"/>
          <w:kern w:val="0"/>
          <w:sz w:val="24"/>
          <w:szCs w:val="24"/>
          <w:highlight w:val="none"/>
          <w:lang w:val="en-US" w:eastAsia="zh-CN" w:bidi="ar-SA"/>
        </w:rPr>
        <w:t>2.采购范围、交货期、交货地点和质量标准</w:t>
      </w:r>
      <w:bookmarkEnd w:id="14"/>
      <w:r>
        <w:rPr>
          <w:rFonts w:hint="eastAsia" w:ascii="仿宋" w:hAnsi="仿宋" w:eastAsia="仿宋" w:cs="仿宋"/>
          <w:b/>
          <w:color w:val="auto"/>
          <w:kern w:val="0"/>
          <w:sz w:val="24"/>
          <w:szCs w:val="24"/>
          <w:highlight w:val="none"/>
          <w:lang w:val="en-US" w:eastAsia="zh-CN" w:bidi="ar-SA"/>
        </w:rPr>
        <w:t xml:space="preserve"> </w:t>
      </w:r>
    </w:p>
    <w:p w14:paraId="7C54993D">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2.1采购范围：</w:t>
      </w:r>
      <w:r>
        <w:rPr>
          <w:rFonts w:hint="eastAsia" w:ascii="仿宋" w:hAnsi="仿宋" w:eastAsia="仿宋" w:cs="仿宋"/>
          <w:color w:val="auto"/>
          <w:sz w:val="24"/>
          <w:szCs w:val="24"/>
          <w:highlight w:val="none"/>
          <w:lang w:eastAsia="zh-CN"/>
        </w:rPr>
        <w:t>赣州旅投景区管理集团有限公司2026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w:t>
      </w:r>
      <w:r>
        <w:rPr>
          <w:rFonts w:hint="eastAsia" w:ascii="仿宋" w:hAnsi="仿宋" w:eastAsia="仿宋" w:cs="仿宋"/>
          <w:color w:val="auto"/>
          <w:sz w:val="24"/>
          <w:szCs w:val="24"/>
          <w:highlight w:val="none"/>
          <w:lang w:val="en-US" w:eastAsia="zh-CN"/>
        </w:rPr>
        <w:t xml:space="preserve">家禽类产品需求，食材使用方为江南宋城景区内私营商户。 </w:t>
      </w:r>
    </w:p>
    <w:p w14:paraId="51949816">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2.2 交货期：服务期1年，按合同签订之日起12个日历月计算。 </w:t>
      </w:r>
    </w:p>
    <w:p w14:paraId="400B9266">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2.3 交货地点：赣州市中心城区。 </w:t>
      </w:r>
    </w:p>
    <w:p w14:paraId="3304E3F3">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 质量标准：</w:t>
      </w:r>
    </w:p>
    <w:p w14:paraId="7800D57E">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2.4.1 供应商供应商品的质量与包装应当符合国家相关法律法规的规定，符合行业主管部门发布的规定、标准、规范。</w:t>
      </w:r>
    </w:p>
    <w:p w14:paraId="5B502085">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2.4.2 按规定必须经由法定食品检验机构检测的商品，供应商应于采购人采购时向采购人提供同批次产品检验报告或合格证（复印件）。</w:t>
      </w:r>
    </w:p>
    <w:p w14:paraId="13643854">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2.4.3 供应商所供应的家禽类食材应根据</w:t>
      </w:r>
      <w:r>
        <w:rPr>
          <w:rFonts w:hint="eastAsia" w:ascii="仿宋" w:hAnsi="仿宋" w:eastAsia="仿宋" w:cs="仿宋"/>
          <w:i w:val="0"/>
          <w:iCs w:val="0"/>
          <w:caps w:val="0"/>
          <w:color w:val="auto"/>
          <w:spacing w:val="0"/>
          <w:sz w:val="24"/>
          <w:szCs w:val="24"/>
          <w:highlight w:val="none"/>
          <w:shd w:val="clear"/>
        </w:rPr>
        <w:t>《农产品质量安全承诺达标合格证管理办法》附具承诺达标合格证</w:t>
      </w:r>
      <w:r>
        <w:rPr>
          <w:rFonts w:hint="eastAsia" w:ascii="仿宋" w:hAnsi="仿宋" w:eastAsia="仿宋" w:cs="仿宋"/>
          <w:i w:val="0"/>
          <w:iCs w:val="0"/>
          <w:caps w:val="0"/>
          <w:color w:val="auto"/>
          <w:spacing w:val="0"/>
          <w:sz w:val="24"/>
          <w:szCs w:val="24"/>
          <w:highlight w:val="none"/>
          <w:shd w:val="clear"/>
          <w:lang w:eastAsia="zh-CN"/>
        </w:rPr>
        <w:t>，</w:t>
      </w:r>
      <w:r>
        <w:rPr>
          <w:rFonts w:hint="eastAsia" w:ascii="仿宋" w:hAnsi="仿宋" w:eastAsia="仿宋" w:cs="仿宋"/>
          <w:i w:val="0"/>
          <w:iCs w:val="0"/>
          <w:caps w:val="0"/>
          <w:color w:val="auto"/>
          <w:spacing w:val="0"/>
          <w:sz w:val="24"/>
          <w:szCs w:val="24"/>
          <w:highlight w:val="none"/>
          <w:shd w:val="clear"/>
          <w:lang w:val="en-US" w:eastAsia="zh-CN"/>
        </w:rPr>
        <w:t>包装类产品</w:t>
      </w:r>
      <w:r>
        <w:rPr>
          <w:rFonts w:hint="eastAsia" w:ascii="仿宋" w:hAnsi="仿宋" w:eastAsia="仿宋" w:cs="仿宋"/>
          <w:color w:val="auto"/>
          <w:sz w:val="24"/>
          <w:szCs w:val="24"/>
          <w:highlight w:val="none"/>
          <w:lang w:val="en-US" w:eastAsia="zh-CN"/>
        </w:rPr>
        <w:t>的保质期不得少于商品明示保质期的1/2。</w:t>
      </w:r>
    </w:p>
    <w:p w14:paraId="7F6BEB18">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2.4.4 采购人经营过程中发生的政府部门按规定进行的涉及供应商所供商品的质量检验，如检验部门收取费用，检验费用承担方式约定为：如商品质量经检验合格，检验费由双方各承担50%；商品质量经检验不合格的，检测费等一切费用由供应商承担（若因此导致采购人遭受行政处罚的，所产生的一切损失（含行政罚款）均由供应商承担）。因消费者投诉而送检的供应商所供商品，经检验不合格的，检验费用由供应商承担（如因此导致的采购人赔偿与罚款亦由供应商承担）。需供应商承担采购人已支付的检验、检测费用，由采购人向供应商提供检验机构出具的收费凭证（或复印件）</w:t>
      </w:r>
    </w:p>
    <w:p w14:paraId="4CB2AB6F">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2.4.5 供应商不得向采购人供应下列商品（产品）。违反本项约定，供应商应承担由此造成的经济损失及法律责任，并且采购人有权要求供应商合同总金额10%作为违约金，同时采购人单方终止本合同且不视为违约：</w:t>
      </w:r>
    </w:p>
    <w:p w14:paraId="22AE29A2">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（1）不符合《食品安全国家标准》的；</w:t>
      </w:r>
    </w:p>
    <w:p w14:paraId="416274CD">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（2）整鸡、鸭等禽类产品不符合《鲜、冻禽产品》（GB 16869-2005）的技术要求的，其中GB 16869-2005中涉及《食品安全国家标准 鲜（冻）畜、禽产品》（GB 2707-2016）的指标，以GB 2707-2016为准；</w:t>
      </w:r>
    </w:p>
    <w:p w14:paraId="38E3EE9E">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（3）农药残留、污染物超标的（经法定检测机构检测，相关指标超过国家标准限值的）；</w:t>
      </w:r>
    </w:p>
    <w:p w14:paraId="47A2C1A2">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（4）未经动物卫生监督机构检疫或者检疫不合格的肉类及其制品；</w:t>
      </w:r>
    </w:p>
    <w:p w14:paraId="0C54A61E">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（5）国家明令禁止生产经营的食品及相关产品；</w:t>
      </w:r>
    </w:p>
    <w:p w14:paraId="61DB5085">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（6）其他违反国家法律法规及行政主管部门规定的商品。</w:t>
      </w:r>
    </w:p>
    <w:p w14:paraId="391E9001">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2.4.6配送的生鲜肉类应为当日生产，保证肉质新鲜，及时配送。应符合《食品安全国家标准鲜（冻）畜、禽产品》（GB2707-2016）的规定，其中GB2707-2016未涵盖的指标还应符合《鲜、冻禽产品》（GB16869-2005）的相关要求。</w:t>
      </w:r>
    </w:p>
    <w:p w14:paraId="376CE92B">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配送的鲜肉类必须在定点屠宰场（或宰杀店）宰杀加工，并经动物卫生检疫机构检疫合格，加盖检疫合格印章和屠宰场印章，并随货附有《动物检疫合格证明》。冷冻肉类必须向经营商索票索证，并报动物卫生检疫机构备案。</w:t>
      </w:r>
    </w:p>
    <w:p w14:paraId="109F21AF">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供应商在每批次供货时，应随货提供以下证明文件（原件或加盖供货方公章的复印件）：</w:t>
      </w:r>
    </w:p>
    <w:p w14:paraId="11CD3C79">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（1）《动物检疫合格证明》；</w:t>
      </w:r>
    </w:p>
    <w:p w14:paraId="55120524">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（2）肉品品质检验合格证明；</w:t>
      </w:r>
    </w:p>
    <w:p w14:paraId="22581896">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（3）定点屠宰场出具的屠宰凭证或相关证明文件。</w:t>
      </w:r>
    </w:p>
    <w:p w14:paraId="3E9DC0AB">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上述证明文件不齐全的，采购人有权拒绝接收该批次货物。</w:t>
      </w:r>
    </w:p>
    <w:p w14:paraId="3A9E9B66">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2.4.7若供应商所售产品经采购人检验有质量瑕疵或系假冒伪劣产品或不符合合同要求的，采购人有权要求退货或换货，累计3次抽检不合格的，采购人有权要求供应商支付合同总金额10%的违约金并解除合同。</w:t>
      </w:r>
    </w:p>
    <w:p w14:paraId="28847CFB">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2.4.8供应商提供的货物，如在运输过程中出现质量问题，或被有关部门检查中发现问题的，相关赔偿责任均由供应商承担，如采购人因此受到相关经济损失或者需承担相关法律责任的，采购人有权要求供应商承担最终责任。</w:t>
      </w:r>
    </w:p>
    <w:p w14:paraId="62057E12">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2.4.9采购人每天晚上21:00左右对次日供货需求进行下单，供应商应在采购人发出采购清单后次日8:30前(具体供货时间以采购人下单时要求为准)完成货物的配送。节假日及交通拥堵时，供应商应提前备货并合理规划运输，确保准点。遇采购人特殊应急加急配送需求，供应商须无条件配合。</w:t>
      </w:r>
    </w:p>
    <w:p w14:paraId="784EB82E">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2.4.10若供应商未在约定期限内交货、退换货，影响生产经营的。每出现一次，应按200元/次支付违约金。供应商以各种理由拒绝交付供应范围内货物的，每出现一次支付违约金2000元，并且违约方应承担守约方为实现本合同项下权益所支出的所有费用，包括但不限于律师费、诉讼费、执行费、鉴定费、保全费、保全保险费等费用。</w:t>
      </w:r>
    </w:p>
    <w:p w14:paraId="7F7E2B9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SA"/>
        </w:rPr>
        <w:t>2.5退换货</w:t>
      </w:r>
    </w:p>
    <w:p w14:paraId="2BF9AD23">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2.5.1项目特殊需求定制产品，非品质问题不予退换；生鲜产品，非品质问题不予退换；大宗流通标品，</w:t>
      </w:r>
      <w:bookmarkStart w:id="81" w:name="_GoBack"/>
      <w:bookmarkEnd w:id="81"/>
      <w:r>
        <w:rPr>
          <w:rFonts w:hint="eastAsia" w:ascii="仿宋" w:hAnsi="仿宋" w:eastAsia="仿宋" w:cs="仿宋"/>
          <w:color w:val="auto"/>
          <w:sz w:val="24"/>
          <w:szCs w:val="24"/>
          <w:highlight w:val="none"/>
          <w:lang w:val="en-US" w:eastAsia="zh-CN"/>
        </w:rPr>
        <w:t>三分之一有效期内，不影响二次销售情况下，有合理原因和需求，可以申请退换服务。 </w:t>
      </w:r>
    </w:p>
    <w:p w14:paraId="59C2E8AF">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2.5.2因供应商所供商品出现质量问题的，采购人应给予退货，由此产生的相关费用、损失由供应商承担。</w:t>
      </w:r>
    </w:p>
    <w:p w14:paraId="18D317C5">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2.6采购人有权从应付货款中直接扣除：</w:t>
      </w:r>
    </w:p>
    <w:p w14:paraId="44F10972">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（1）供应商应承担的违约金、赔偿金；</w:t>
      </w:r>
    </w:p>
    <w:p w14:paraId="45F58D64">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（2）不合格商品退货款；</w:t>
      </w:r>
    </w:p>
    <w:p w14:paraId="1BA586B9">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（3）采购人代垫的检测费、罚款等。</w:t>
      </w:r>
    </w:p>
    <w:p w14:paraId="43ED334A">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2.7留样要求</w:t>
      </w:r>
    </w:p>
    <w:p w14:paraId="1032FE6F">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须对每次配送的所有食材逐品种留样，每品种≥125g，专用密闭容器盛放，0℃–8℃冷藏保存≥48小时，上锁专柜、专人管理。留样记录含：食材名称、品牌、规格、批次、留样量、留样时间、留样人、审核人，记录保存≥2年。高风险食材（肉/水产/熟食/豆制品）必须逐批附检疫/溯源/农残报告，随货归档。</w:t>
      </w:r>
    </w:p>
    <w:p w14:paraId="7CD0BB66">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5" w:name="_Toc23397"/>
      <w:r>
        <w:rPr>
          <w:rFonts w:hint="eastAsia" w:ascii="仿宋" w:hAnsi="仿宋" w:eastAsia="仿宋" w:cs="仿宋"/>
          <w:b/>
          <w:color w:val="auto"/>
          <w:kern w:val="0"/>
          <w:sz w:val="24"/>
          <w:szCs w:val="24"/>
          <w:highlight w:val="none"/>
          <w:lang w:val="en-US" w:eastAsia="zh-CN" w:bidi="ar-SA"/>
        </w:rPr>
        <w:t>3.供应商资格要求</w:t>
      </w:r>
      <w:bookmarkEnd w:id="15"/>
    </w:p>
    <w:p w14:paraId="5A1D76A7">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本项目资格要求</w:t>
      </w:r>
    </w:p>
    <w:p w14:paraId="5E72BDCA">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（1）具有独立承担民事责任的能力，持有有效的营业执照；</w:t>
      </w:r>
    </w:p>
    <w:p w14:paraId="03001A62">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（2）具有良好的商业信誉和健全的财务会计制度；</w:t>
      </w:r>
    </w:p>
    <w:p w14:paraId="23534AB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4025A8C7">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（4）有依法缴纳税收的良好记录；</w:t>
      </w:r>
    </w:p>
    <w:p w14:paraId="734BD476">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（5）参加比选采购活动前三年内，在经营活动中没有重大违法记录。</w:t>
      </w:r>
    </w:p>
    <w:p w14:paraId="761C1F2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（6）业绩要求：供应商近5年内（合同签订时间为2021年7月1日至投标截止时间前）独立承接过家禽类产品供应项目至少提供1个。</w:t>
      </w:r>
    </w:p>
    <w:p w14:paraId="1CB83A4C">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其他要求</w:t>
      </w:r>
    </w:p>
    <w:p w14:paraId="596185E2">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单位负责人为同一人或者存在直接控股、管理关系的不同供应商，不得参加同一合同项下的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3C7B7241">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477A91DE">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（3）供应商的分支机构不得参加本次采购，特殊行业（仅限于银行、保险、石油石化、电力、电信行业）供应商允许其分支机构参加本次采购。</w:t>
      </w:r>
    </w:p>
    <w:p w14:paraId="09E4691E">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6" w:name="_Toc26901"/>
      <w:r>
        <w:rPr>
          <w:rFonts w:hint="eastAsia" w:ascii="仿宋" w:hAnsi="仿宋" w:eastAsia="仿宋" w:cs="仿宋"/>
          <w:b/>
          <w:color w:val="auto"/>
          <w:kern w:val="0"/>
          <w:sz w:val="24"/>
          <w:szCs w:val="24"/>
          <w:highlight w:val="none"/>
          <w:lang w:val="en-US" w:eastAsia="zh-CN" w:bidi="ar-SA"/>
        </w:rPr>
        <w:t>4.供应商不得存在的情形</w:t>
      </w:r>
      <w:bookmarkEnd w:id="16"/>
    </w:p>
    <w:p w14:paraId="46AC5C6F">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供应商不得存在下列情形之一：</w:t>
      </w:r>
    </w:p>
    <w:p w14:paraId="49CA240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（1）与采购人存在利害关系且可能影响采购公正性；</w:t>
      </w:r>
    </w:p>
    <w:p w14:paraId="74433F3A">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（2）与本采购项目的其他报价供应商为同一个单位负责人；</w:t>
      </w:r>
    </w:p>
    <w:p w14:paraId="05252279">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（3）与本采购项目的其他报价供应商存在控股、管理关系；</w:t>
      </w:r>
    </w:p>
    <w:p w14:paraId="4352073B">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（4）被依法暂停或者取消投标资格；</w:t>
      </w:r>
    </w:p>
    <w:p w14:paraId="3B1105F4">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（5）被责令停产停业、暂扣或者吊销许可证、暂扣或者吊销执照；</w:t>
      </w:r>
    </w:p>
    <w:p w14:paraId="11CFA755">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（6）进入清算程序，或被宣告破产，或其他丧失履约能力的情形；</w:t>
      </w:r>
    </w:p>
    <w:p w14:paraId="65A6F371">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（7）在最近三年内发生重大产品质量问题（以相关行业主管部门的行政处罚决定或司法机关出具的有关法律文书为准）；</w:t>
      </w:r>
    </w:p>
    <w:p w14:paraId="0E8F2160">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（8）被工商行政管理机关在国家企业信用信息公示系统中列入严重违法失信企业名单；</w:t>
      </w:r>
    </w:p>
    <w:p w14:paraId="42C8B12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（9）被最高人民法院在“信用中国”网站（www.creditchina.gov.cn）或各级信用信息共享平台中列入失信被执行人名单；</w:t>
      </w:r>
    </w:p>
    <w:p w14:paraId="13CBC627">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（10）在近三年内报价供应商或其法定代表人、拟委任的项目负责人有行贿犯罪行为的（以检察机关职务犯罪预防部门出具的查询结果为准）；</w:t>
      </w:r>
    </w:p>
    <w:p w14:paraId="1C3477C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（11）法律法规规定的其他情形。</w:t>
      </w:r>
    </w:p>
    <w:bookmarkEnd w:id="13"/>
    <w:p w14:paraId="6F92D750">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7" w:name="_Toc9786"/>
      <w:r>
        <w:rPr>
          <w:rFonts w:hint="eastAsia" w:ascii="仿宋" w:hAnsi="仿宋" w:eastAsia="仿宋" w:cs="仿宋"/>
          <w:b/>
          <w:color w:val="auto"/>
          <w:kern w:val="0"/>
          <w:sz w:val="24"/>
          <w:szCs w:val="24"/>
          <w:highlight w:val="none"/>
          <w:lang w:val="en-US" w:eastAsia="zh-CN" w:bidi="ar-SA"/>
        </w:rPr>
        <w:t>5.合同价款</w:t>
      </w:r>
      <w:bookmarkEnd w:id="17"/>
    </w:p>
    <w:p w14:paraId="0A668A1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color w:val="auto"/>
          <w:kern w:val="2"/>
          <w:sz w:val="24"/>
          <w:szCs w:val="24"/>
          <w:highlight w:val="none"/>
          <w:lang w:val="en-US" w:bidi="ar-SA"/>
        </w:rPr>
      </w:pPr>
      <w:r>
        <w:rPr>
          <w:rStyle w:val="62"/>
          <w:rFonts w:hint="eastAsia" w:ascii="仿宋" w:hAnsi="仿宋" w:eastAsia="仿宋" w:cs="仿宋"/>
          <w:color w:val="auto"/>
          <w:kern w:val="2"/>
          <w:sz w:val="24"/>
          <w:szCs w:val="24"/>
          <w:highlight w:val="none"/>
          <w:lang w:val="en-US" w:bidi="ar-SA"/>
        </w:rPr>
        <w:t>5.1合同价款：</w:t>
      </w:r>
      <w:r>
        <w:rPr>
          <w:rStyle w:val="62"/>
          <w:rFonts w:hint="eastAsia" w:ascii="仿宋" w:hAnsi="仿宋" w:eastAsia="仿宋" w:cs="仿宋"/>
          <w:color w:val="auto"/>
          <w:kern w:val="2"/>
          <w:sz w:val="24"/>
          <w:szCs w:val="24"/>
          <w:highlight w:val="none"/>
          <w:lang w:val="en-US" w:eastAsia="zh-CN" w:bidi="ar-SA"/>
        </w:rPr>
        <w:t>采购金</w:t>
      </w:r>
      <w:r>
        <w:rPr>
          <w:rStyle w:val="62"/>
          <w:rFonts w:hint="eastAsia" w:ascii="仿宋" w:hAnsi="仿宋" w:eastAsia="仿宋" w:cs="仿宋"/>
          <w:color w:val="auto"/>
          <w:kern w:val="2"/>
          <w:sz w:val="24"/>
          <w:szCs w:val="24"/>
          <w:highlight w:val="none"/>
          <w:lang w:val="en-US" w:bidi="ar-SA"/>
        </w:rPr>
        <w:t>额约90万元。</w:t>
      </w:r>
      <w:r>
        <w:rPr>
          <w:rStyle w:val="62"/>
          <w:rFonts w:hint="eastAsia" w:ascii="仿宋" w:hAnsi="仿宋" w:eastAsia="仿宋" w:cs="仿宋"/>
          <w:color w:val="auto"/>
          <w:kern w:val="2"/>
          <w:sz w:val="24"/>
          <w:szCs w:val="24"/>
          <w:highlight w:val="none"/>
          <w:lang w:val="en-US" w:eastAsia="zh-CN" w:bidi="ar-SA"/>
        </w:rPr>
        <w:t>每次采购以采购人实际购买发生数量和本合同价格约定方式确定价款，经双方确认后据实书面结算。</w:t>
      </w:r>
    </w:p>
    <w:p w14:paraId="29C953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5.2合同价款已包含产品价格、税金、运输、运输保险费、加工费、包装费、搬运费、卸货费用及验收合格前其他所有费用，供应商不得收取其他任何费用。</w:t>
      </w:r>
    </w:p>
    <w:p w14:paraId="02634C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5.3市场价格调整方式：供货期内，采购人有权对货物单价进行调整，具体调整时间及调整次数以采购人通知为准，调整机制如下：采购人每月不定期做市场价格调查，以江南宋城景区周边大型农贸市场（卫府里、三康庙等）的批发价作为市场基准参考价格，结合成交供应商每月提供的报价清单，制定当月合理市场价格，并在此基础上</w:t>
      </w:r>
      <w:r>
        <w:rPr>
          <w:rStyle w:val="62"/>
          <w:rFonts w:hint="eastAsia" w:ascii="仿宋" w:hAnsi="仿宋" w:eastAsia="仿宋" w:cs="仿宋"/>
          <w:b/>
          <w:bCs/>
          <w:color w:val="auto"/>
          <w:sz w:val="24"/>
          <w:szCs w:val="24"/>
          <w:highlight w:val="none"/>
          <w:lang w:val="en-US" w:eastAsia="zh-CN"/>
        </w:rPr>
        <w:t>进行下浮3%以及供应商报价下浮率</w:t>
      </w:r>
      <w:r>
        <w:rPr>
          <w:rStyle w:val="62"/>
          <w:rFonts w:hint="eastAsia" w:ascii="仿宋" w:hAnsi="仿宋" w:eastAsia="仿宋" w:cs="仿宋"/>
          <w:b w:val="0"/>
          <w:bCs w:val="0"/>
          <w:color w:val="auto"/>
          <w:sz w:val="24"/>
          <w:szCs w:val="24"/>
          <w:highlight w:val="none"/>
          <w:lang w:val="en-US" w:eastAsia="zh-CN"/>
        </w:rPr>
        <w:t>之后计算当月结算价格。</w:t>
      </w:r>
      <w:r>
        <w:rPr>
          <w:rStyle w:val="62"/>
          <w:rFonts w:hint="eastAsia" w:ascii="仿宋" w:hAnsi="仿宋" w:eastAsia="仿宋" w:cs="仿宋"/>
          <w:b/>
          <w:bCs/>
          <w:color w:val="auto"/>
          <w:sz w:val="24"/>
          <w:szCs w:val="24"/>
          <w:highlight w:val="none"/>
          <w:lang w:val="en-US" w:eastAsia="zh-CN"/>
        </w:rPr>
        <w:t>附件3：参考价（家禽类）为2026年1月、2月、3月、4月、5月、6月、7月的市场参考价，未进行任何下浮，以上市场参考价需固定下浮3%并再次按供应商报价下浮率计算后进行结算，供应商须参照自身同一时期供应成本基准价格，合理测算后填报下浮率。</w:t>
      </w:r>
    </w:p>
    <w:p w14:paraId="204CCDAC">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Style w:val="62"/>
          <w:rFonts w:hint="eastAsia" w:ascii="仿宋" w:hAnsi="仿宋" w:eastAsia="仿宋" w:cs="仿宋"/>
          <w:b/>
          <w:bCs/>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例：鹅2026年3月市场参考均价为11元/斤，供应商报价下浮率为2%，则2026年3月结算价格为11×（1-3%）×（1-2%)=10.4566元/斤，2026-2027年度供应期间每月合理市场价以采购人市场调查结果进行调整，固定下浮率3%以及供应商报价下浮率不再调整。</w:t>
      </w:r>
    </w:p>
    <w:p w14:paraId="00CDE108">
      <w:pPr>
        <w:pStyle w:val="63"/>
        <w:keepNext w:val="0"/>
        <w:keepLines w:val="0"/>
        <w:pageBreakBefore w:val="0"/>
        <w:shd w:val="clear" w:color="auto" w:fill="FFFFFF"/>
        <w:kinsoku/>
        <w:wordWrap/>
        <w:overflowPunct/>
        <w:topLinePunct w:val="0"/>
        <w:autoSpaceDE/>
        <w:autoSpaceDN/>
        <w:bidi w:val="0"/>
        <w:adjustRightInd/>
        <w:snapToGrid/>
        <w:spacing w:line="500" w:lineRule="exact"/>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color w:val="auto"/>
          <w:sz w:val="24"/>
          <w:szCs w:val="24"/>
          <w:highlight w:val="none"/>
          <w:lang w:val="en-US" w:eastAsia="zh-CN"/>
        </w:rPr>
        <w:t>5.4</w:t>
      </w:r>
      <w:r>
        <w:rPr>
          <w:rStyle w:val="62"/>
          <w:rFonts w:hint="eastAsia" w:ascii="仿宋" w:hAnsi="仿宋" w:eastAsia="仿宋" w:cs="仿宋"/>
          <w:b w:val="0"/>
          <w:bCs w:val="0"/>
          <w:color w:val="auto"/>
          <w:sz w:val="24"/>
          <w:szCs w:val="24"/>
          <w:highlight w:val="none"/>
          <w:lang w:val="en-US" w:eastAsia="zh-CN"/>
        </w:rPr>
        <w:t>附件3：参考价（家禽类）中所有产品细目的数量为期间内采购数量，具体用量根据实际经营情况决定，</w:t>
      </w:r>
      <w:r>
        <w:rPr>
          <w:rStyle w:val="62"/>
          <w:rFonts w:hint="eastAsia" w:ascii="仿宋" w:hAnsi="仿宋" w:eastAsia="仿宋" w:cs="仿宋"/>
          <w:b/>
          <w:bCs/>
          <w:color w:val="auto"/>
          <w:sz w:val="24"/>
          <w:szCs w:val="24"/>
          <w:highlight w:val="none"/>
          <w:lang w:val="en-US" w:eastAsia="zh-CN"/>
        </w:rPr>
        <w:t>属于同大类产品、附件3：参考价（家禽类）外的家禽类产品，也需按5.3所述规则进行市场询价及下浮定价保障供应</w:t>
      </w:r>
      <w:r>
        <w:rPr>
          <w:rStyle w:val="62"/>
          <w:rFonts w:hint="eastAsia" w:ascii="仿宋" w:hAnsi="仿宋" w:eastAsia="仿宋" w:cs="仿宋"/>
          <w:b w:val="0"/>
          <w:bCs w:val="0"/>
          <w:color w:val="auto"/>
          <w:sz w:val="24"/>
          <w:szCs w:val="24"/>
          <w:highlight w:val="none"/>
          <w:lang w:val="en-US" w:eastAsia="zh-CN"/>
        </w:rPr>
        <w:t>，请各参与响应供应商严谨报价。</w:t>
      </w:r>
    </w:p>
    <w:p w14:paraId="4046025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5.5本次采购为赣州旅投景区管理集团有限公司经营性采购，</w:t>
      </w:r>
      <w:r>
        <w:rPr>
          <w:rStyle w:val="62"/>
          <w:rFonts w:hint="eastAsia" w:ascii="仿宋" w:hAnsi="仿宋" w:eastAsia="仿宋" w:cs="仿宋"/>
          <w:b/>
          <w:bCs/>
          <w:color w:val="auto"/>
          <w:sz w:val="24"/>
          <w:szCs w:val="24"/>
          <w:highlight w:val="none"/>
          <w:lang w:val="en-US" w:eastAsia="zh-CN"/>
        </w:rPr>
        <w:t>食材使用方为江南宋城景区内私营商户，</w:t>
      </w:r>
      <w:r>
        <w:rPr>
          <w:rStyle w:val="62"/>
          <w:rFonts w:hint="eastAsia" w:ascii="仿宋" w:hAnsi="仿宋" w:eastAsia="仿宋" w:cs="仿宋"/>
          <w:b w:val="0"/>
          <w:bCs w:val="0"/>
          <w:color w:val="auto"/>
          <w:sz w:val="24"/>
          <w:szCs w:val="24"/>
          <w:highlight w:val="none"/>
          <w:lang w:val="en-US" w:eastAsia="zh-CN"/>
        </w:rPr>
        <w:t>为避免因进项不足额抵扣销项导致的亏损，若中标单位为小规模纳税人，则在不含税采购价基础上，付款时扣除因进项不足导致招标人的税负损失，计算方式为：扣除金额=不含税采购价×（一般纳税人税率-小规模纳税人税率）×（1+招标人附加税率），请各小规模纳税人综合考虑后进行响应下浮报价。在免征增值税政策范围内的产品，可按税收规定开具相应免税发票，不进行税金差额扣款。流通环节征税的农产品，小规模纳税人可提供3%征收率的专用发票，不进行税金差额扣款。</w:t>
      </w:r>
    </w:p>
    <w:p w14:paraId="5F038EC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举例1</w:t>
      </w:r>
    </w:p>
    <w:p w14:paraId="61A1E10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中标单位为增值税小规模纳税人，税率1%，供货商品对应的增值税一般纳税人税率13%，不含税中标价100元，招标人增值税附加税率12%</w:t>
      </w:r>
    </w:p>
    <w:p w14:paraId="4C59E4B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结算付款扣除金额=100×（13%-1%）×（1+12%）=13.44元</w:t>
      </w:r>
    </w:p>
    <w:p w14:paraId="156A3DB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举例2</w:t>
      </w:r>
    </w:p>
    <w:p w14:paraId="2065CB9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中标单位为增值税小规模纳税人，税率1%，供货商品对应的增值税一般纳税人税率9%，不含税中标价100元，招标人增值税附加税率12%</w:t>
      </w:r>
    </w:p>
    <w:p w14:paraId="78705A6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结算付款扣除金额=100×（9%-1%）×（1+12%）=8.96元</w:t>
      </w:r>
    </w:p>
    <w:p w14:paraId="1CF173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举例3</w:t>
      </w:r>
    </w:p>
    <w:p w14:paraId="0E0C38A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中标单位为增值税小规模纳税人，税率3%，供货商品对应的增值税一般纳税人适用税率9%，不含税中标价100元，招标人增值税附加税率12%</w:t>
      </w:r>
    </w:p>
    <w:p w14:paraId="293400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结算付款扣除金额=100×（9%-3%）×（1+12%）=6.72元</w:t>
      </w:r>
    </w:p>
    <w:p w14:paraId="4414B6B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举例4</w:t>
      </w:r>
    </w:p>
    <w:p w14:paraId="5528BAA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中标单位为增值税小规模纳税人，税率3%，供货商品对应的增值税一般纳税人适用税率13%，不含税中标价100元，招标人增值税附加税率12%</w:t>
      </w:r>
    </w:p>
    <w:p w14:paraId="5BF5A71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结算付款扣除金额=100×（13%-3%）×（1+12%）=11.2元</w:t>
      </w:r>
    </w:p>
    <w:p w14:paraId="535167A8">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8" w:name="_Toc21855"/>
      <w:r>
        <w:rPr>
          <w:rFonts w:hint="eastAsia" w:ascii="仿宋" w:hAnsi="仿宋" w:eastAsia="仿宋" w:cs="仿宋"/>
          <w:b/>
          <w:color w:val="auto"/>
          <w:kern w:val="0"/>
          <w:sz w:val="24"/>
          <w:szCs w:val="24"/>
          <w:highlight w:val="none"/>
          <w:lang w:val="en-US" w:eastAsia="zh-CN" w:bidi="ar-SA"/>
        </w:rPr>
        <w:t>6.框架协议签订与正式合同签约</w:t>
      </w:r>
      <w:bookmarkEnd w:id="18"/>
    </w:p>
    <w:p w14:paraId="19E2F4B3">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6.1框架协议签订</w:t>
      </w:r>
    </w:p>
    <w:p w14:paraId="06C5260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入围供应商应按其有效报价下浮率，与采购人签订框架协议，明确双方合作框架及价格基准。</w:t>
      </w:r>
    </w:p>
    <w:p w14:paraId="0688EBB5">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6.2正式采购合同签约</w:t>
      </w:r>
    </w:p>
    <w:p w14:paraId="3B6E4D9B">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采购人应从入围供应商中，按照有效报价下浮率由高至低的顺序，确定排名第一的供应商为签约供应商，并与其签订正式采购合同。若排名第一的供应商出现下列情形之一，采购人可按评审排名顺序依次与后续供应商签约：</w:t>
      </w:r>
    </w:p>
    <w:p w14:paraId="587B8432">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（1）</w:t>
      </w:r>
      <w:r>
        <w:rPr>
          <w:rStyle w:val="62"/>
          <w:rFonts w:hint="eastAsia" w:ascii="仿宋" w:hAnsi="仿宋" w:eastAsia="仿宋" w:cs="仿宋"/>
          <w:b w:val="0"/>
          <w:bCs w:val="0"/>
          <w:color w:val="auto"/>
          <w:sz w:val="24"/>
          <w:szCs w:val="24"/>
          <w:highlight w:val="none"/>
          <w:lang w:val="en-US" w:eastAsia="zh-CN"/>
        </w:rPr>
        <w:t>放弃签约的；</w:t>
      </w:r>
    </w:p>
    <w:p w14:paraId="4FB05B8E">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Style w:val="62"/>
          <w:rFonts w:hint="eastAsia" w:ascii="仿宋" w:hAnsi="仿宋" w:eastAsia="仿宋" w:cs="仿宋"/>
          <w:b w:val="0"/>
          <w:bCs w:val="0"/>
          <w:color w:val="auto"/>
          <w:sz w:val="24"/>
          <w:szCs w:val="24"/>
          <w:highlight w:val="none"/>
          <w:lang w:val="en-US" w:eastAsia="zh-CN"/>
        </w:rPr>
        <w:t>因不可抗力不能履行合同的；</w:t>
      </w:r>
    </w:p>
    <w:p w14:paraId="7936ADF0">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（3）未能在规定期限内提交履约保证金的。</w:t>
      </w:r>
    </w:p>
    <w:p w14:paraId="7DFD6518">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2"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因上所列情形未能签约的供应商，不得以任何理由重新获得签约资格。</w:t>
      </w:r>
    </w:p>
    <w:p w14:paraId="1B28E349">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9" w:name="_Toc2216"/>
      <w:r>
        <w:rPr>
          <w:rFonts w:hint="eastAsia" w:ascii="仿宋" w:hAnsi="仿宋" w:eastAsia="仿宋" w:cs="仿宋"/>
          <w:b/>
          <w:color w:val="auto"/>
          <w:kern w:val="0"/>
          <w:sz w:val="24"/>
          <w:szCs w:val="24"/>
          <w:highlight w:val="none"/>
          <w:lang w:val="en-US" w:eastAsia="zh-CN" w:bidi="ar-SA"/>
        </w:rPr>
        <w:t>7.供应商考核</w:t>
      </w:r>
      <w:bookmarkEnd w:id="19"/>
    </w:p>
    <w:p w14:paraId="6F5DCD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Style w:val="62"/>
          <w:rFonts w:hint="default" w:ascii="仿宋" w:hAnsi="仿宋" w:eastAsia="仿宋" w:cs="仿宋"/>
          <w:b w:val="0"/>
          <w:bCs w:val="0"/>
          <w:color w:val="auto"/>
          <w:kern w:val="2"/>
          <w:sz w:val="24"/>
          <w:szCs w:val="24"/>
          <w:highlight w:val="none"/>
          <w:lang w:val="en-US" w:eastAsia="zh-CN" w:bidi="ar-SA"/>
        </w:rPr>
      </w:pPr>
      <w:r>
        <w:rPr>
          <w:rStyle w:val="62"/>
          <w:rFonts w:ascii="仿宋" w:hAnsi="仿宋" w:eastAsia="仿宋" w:cs="仿宋"/>
          <w:b w:val="0"/>
          <w:bCs w:val="0"/>
          <w:color w:val="auto"/>
          <w:kern w:val="2"/>
          <w:sz w:val="24"/>
          <w:szCs w:val="24"/>
          <w:highlight w:val="none"/>
          <w:lang w:val="en-US" w:bidi="ar-SA"/>
        </w:rPr>
        <w:t>甲方</w:t>
      </w:r>
      <w:r>
        <w:rPr>
          <w:rStyle w:val="62"/>
          <w:rFonts w:hint="eastAsia" w:ascii="仿宋" w:hAnsi="仿宋" w:eastAsia="仿宋" w:cs="仿宋"/>
          <w:b w:val="0"/>
          <w:bCs w:val="0"/>
          <w:color w:val="auto"/>
          <w:kern w:val="2"/>
          <w:sz w:val="24"/>
          <w:szCs w:val="24"/>
          <w:highlight w:val="none"/>
          <w:lang w:val="en-US" w:bidi="ar-SA"/>
        </w:rPr>
        <w:t>每季度</w:t>
      </w:r>
      <w:r>
        <w:rPr>
          <w:rStyle w:val="62"/>
          <w:rFonts w:ascii="仿宋" w:hAnsi="仿宋" w:eastAsia="仿宋" w:cs="仿宋"/>
          <w:b w:val="0"/>
          <w:bCs w:val="0"/>
          <w:color w:val="auto"/>
          <w:kern w:val="2"/>
          <w:sz w:val="24"/>
          <w:szCs w:val="24"/>
          <w:highlight w:val="none"/>
          <w:lang w:val="en-US" w:bidi="ar-SA"/>
        </w:rPr>
        <w:t>从产品质量、供货价格、送货及时性等方面对供应商进行百分制考核，评分结果划分为A（90～100分）、B（80～89分）、C（70～79分）、D（＜70分）四个等级。若供应商出现D级评定、连续两季度C级、累计三次重大失误影响经营，或在报价中串通舞弊，甲方有权单方解除合同，取消其供应资格，且两年内不得参与甲方任何招投标活动；供应商退出后，如有明确备选则按序递补，否则重新组织采购。</w:t>
      </w:r>
    </w:p>
    <w:p w14:paraId="662177D5">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0" w:name="_Toc3921"/>
      <w:r>
        <w:rPr>
          <w:rFonts w:hint="eastAsia" w:ascii="仿宋" w:hAnsi="仿宋" w:eastAsia="仿宋" w:cs="仿宋"/>
          <w:b/>
          <w:color w:val="auto"/>
          <w:kern w:val="0"/>
          <w:sz w:val="24"/>
          <w:szCs w:val="24"/>
          <w:highlight w:val="none"/>
          <w:lang w:val="en-US" w:eastAsia="zh-CN" w:bidi="ar-SA"/>
        </w:rPr>
        <w:t>8.其他需说明的事项</w:t>
      </w:r>
      <w:bookmarkEnd w:id="20"/>
    </w:p>
    <w:p w14:paraId="52FC97F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color w:val="auto"/>
          <w:sz w:val="24"/>
          <w:szCs w:val="24"/>
          <w:highlight w:val="none"/>
        </w:rPr>
      </w:pPr>
      <w:r>
        <w:rPr>
          <w:rStyle w:val="62"/>
          <w:rFonts w:hint="eastAsia" w:ascii="仿宋" w:hAnsi="仿宋" w:eastAsia="仿宋" w:cs="仿宋"/>
          <w:b w:val="0"/>
          <w:bCs w:val="0"/>
          <w:color w:val="auto"/>
          <w:sz w:val="24"/>
          <w:szCs w:val="24"/>
          <w:highlight w:val="none"/>
          <w:lang w:val="en-US" w:eastAsia="zh-CN"/>
        </w:rPr>
        <w:t>8.1报价供应商必须将响应文件装订成册，响应</w:t>
      </w:r>
      <w:r>
        <w:rPr>
          <w:rStyle w:val="62"/>
          <w:rFonts w:hint="eastAsia" w:ascii="仿宋" w:hAnsi="仿宋" w:eastAsia="仿宋" w:cs="仿宋"/>
          <w:b w:val="0"/>
          <w:bCs w:val="0"/>
          <w:color w:val="auto"/>
          <w:sz w:val="24"/>
          <w:szCs w:val="24"/>
          <w:highlight w:val="none"/>
          <w:lang w:val="en-US"/>
        </w:rPr>
        <w:t>文件正本一份，副本一份。正本和副本的封面右上角应清楚地标记“正本”或“副本”的字样。</w:t>
      </w:r>
      <w:r>
        <w:rPr>
          <w:rStyle w:val="62"/>
          <w:rFonts w:hint="eastAsia" w:ascii="仿宋" w:hAnsi="仿宋" w:eastAsia="仿宋" w:cs="仿宋"/>
          <w:b w:val="0"/>
          <w:bCs w:val="0"/>
          <w:color w:val="auto"/>
          <w:sz w:val="24"/>
          <w:szCs w:val="24"/>
          <w:highlight w:val="none"/>
          <w:lang w:val="en-US" w:eastAsia="zh-CN"/>
        </w:rPr>
        <w:t>并且用文件袋进行密封，在封口处加盖公章。</w:t>
      </w:r>
    </w:p>
    <w:p w14:paraId="603A43FC">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8</w:t>
      </w:r>
      <w:r>
        <w:rPr>
          <w:rStyle w:val="62"/>
          <w:rFonts w:hint="eastAsia" w:ascii="仿宋" w:hAnsi="仿宋" w:eastAsia="仿宋" w:cs="仿宋"/>
          <w:b w:val="0"/>
          <w:bCs w:val="0"/>
          <w:color w:val="auto"/>
          <w:sz w:val="24"/>
          <w:highlight w:val="none"/>
          <w:lang w:val="en-US" w:eastAsia="zh-CN"/>
        </w:rPr>
        <w:t>.2响应供应商恶意低价报价导致未能诚信履约的，采购人将取消其供应资格。</w:t>
      </w:r>
    </w:p>
    <w:p w14:paraId="1218D84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bCs/>
          <w:color w:val="auto"/>
          <w:sz w:val="24"/>
          <w:szCs w:val="24"/>
          <w:highlight w:val="none"/>
          <w:lang w:val="en-US" w:eastAsia="zh-CN"/>
        </w:rPr>
      </w:pPr>
      <w:r>
        <w:rPr>
          <w:rStyle w:val="62"/>
          <w:rFonts w:hint="eastAsia" w:ascii="仿宋" w:hAnsi="仿宋" w:eastAsia="仿宋" w:cs="仿宋"/>
          <w:b w:val="0"/>
          <w:bCs w:val="0"/>
          <w:color w:val="auto"/>
          <w:sz w:val="24"/>
          <w:highlight w:val="none"/>
          <w:lang w:val="en-US" w:eastAsia="zh-CN"/>
        </w:rPr>
        <w:t>8.3</w:t>
      </w:r>
      <w:r>
        <w:rPr>
          <w:rStyle w:val="62"/>
          <w:rFonts w:hint="eastAsia" w:ascii="仿宋" w:hAnsi="仿宋" w:eastAsia="仿宋" w:cs="仿宋"/>
          <w:b/>
          <w:bCs/>
          <w:color w:val="auto"/>
          <w:sz w:val="24"/>
          <w:szCs w:val="24"/>
          <w:highlight w:val="none"/>
          <w:lang w:val="en-US" w:eastAsia="zh-CN"/>
        </w:rPr>
        <w:t>供应商供应鸡鸭等禽类产品，应宰杀好后再称重，分装方式按采购人要求执行。</w:t>
      </w:r>
    </w:p>
    <w:p w14:paraId="015C61C2">
      <w:pPr>
        <w:pStyle w:val="63"/>
        <w:pageBreakBefore w:val="0"/>
        <w:shd w:val="clear" w:color="auto" w:fill="FFFFFF"/>
        <w:kinsoku/>
        <w:wordWrap/>
        <w:overflowPunct/>
        <w:bidi w:val="0"/>
        <w:spacing w:line="520" w:lineRule="exact"/>
        <w:ind w:firstLine="482" w:firstLineChars="200"/>
        <w:jc w:val="left"/>
        <w:textAlignment w:val="auto"/>
        <w:rPr>
          <w:rStyle w:val="62"/>
          <w:rFonts w:hint="default" w:ascii="仿宋" w:hAnsi="仿宋" w:eastAsia="仿宋" w:cs="仿宋"/>
          <w:b/>
          <w:bCs/>
          <w:color w:val="auto"/>
          <w:sz w:val="24"/>
          <w:szCs w:val="24"/>
          <w:highlight w:val="none"/>
          <w:lang w:val="en-US" w:eastAsia="zh-CN"/>
        </w:rPr>
      </w:pPr>
    </w:p>
    <w:p w14:paraId="53676B69">
      <w:pPr>
        <w:pageBreakBefore w:val="0"/>
        <w:kinsoku/>
        <w:wordWrap/>
        <w:overflowPunct/>
        <w:bidi w:val="0"/>
        <w:spacing w:line="52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7D5CF864">
      <w:pPr>
        <w:keepNext w:val="0"/>
        <w:keepLines w:val="0"/>
        <w:pageBreakBefore w:val="0"/>
        <w:widowControl w:val="0"/>
        <w:kinsoku/>
        <w:wordWrap/>
        <w:overflowPunct/>
        <w:topLinePunct w:val="0"/>
        <w:autoSpaceDE/>
        <w:autoSpaceDN/>
        <w:bidi w:val="0"/>
        <w:adjustRightInd/>
        <w:snapToGrid/>
        <w:spacing w:after="200" w:line="520" w:lineRule="exact"/>
        <w:jc w:val="center"/>
        <w:textAlignment w:val="auto"/>
        <w:outlineLvl w:val="1"/>
        <w:rPr>
          <w:rFonts w:hint="eastAsia" w:ascii="仿宋" w:hAnsi="仿宋" w:eastAsia="仿宋" w:cs="仿宋"/>
          <w:b/>
          <w:bCs/>
          <w:color w:val="auto"/>
          <w:sz w:val="44"/>
          <w:szCs w:val="44"/>
          <w:highlight w:val="none"/>
          <w:lang w:val="en-US" w:eastAsia="zh-CN"/>
        </w:rPr>
      </w:pPr>
      <w:bookmarkStart w:id="21" w:name="_Toc12727"/>
      <w:r>
        <w:rPr>
          <w:rFonts w:hint="eastAsia" w:ascii="仿宋" w:hAnsi="仿宋" w:eastAsia="仿宋" w:cs="仿宋"/>
          <w:b/>
          <w:bCs/>
          <w:color w:val="auto"/>
          <w:sz w:val="44"/>
          <w:szCs w:val="44"/>
          <w:highlight w:val="none"/>
          <w:lang w:val="en-US" w:eastAsia="zh-CN"/>
        </w:rPr>
        <w:t>第三章评审办法</w:t>
      </w:r>
      <w:bookmarkEnd w:id="21"/>
    </w:p>
    <w:p w14:paraId="48225CDE">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2" w:name="_Toc8083"/>
      <w:bookmarkStart w:id="23" w:name="bookmark271"/>
      <w:bookmarkStart w:id="24" w:name="_Toc17908"/>
      <w:bookmarkStart w:id="25" w:name="_Toc1993"/>
      <w:bookmarkStart w:id="26" w:name="bookmark272"/>
      <w:bookmarkStart w:id="27" w:name="_Toc2669"/>
      <w:bookmarkStart w:id="28" w:name="bookmark270"/>
      <w:bookmarkStart w:id="29" w:name="_Toc1201"/>
      <w:bookmarkStart w:id="30" w:name="_Toc15065"/>
      <w:bookmarkStart w:id="31" w:name="_Toc24086"/>
      <w:bookmarkStart w:id="32" w:name="_Toc15079_WPSOffice_Level3"/>
      <w:r>
        <w:rPr>
          <w:rFonts w:hint="eastAsia" w:ascii="仿宋" w:hAnsi="仿宋" w:eastAsia="仿宋" w:cs="仿宋"/>
          <w:b/>
          <w:color w:val="auto"/>
          <w:kern w:val="0"/>
          <w:sz w:val="24"/>
          <w:szCs w:val="24"/>
          <w:highlight w:val="none"/>
          <w:lang w:val="en-US" w:eastAsia="zh-CN" w:bidi="ar-SA"/>
        </w:rPr>
        <w:t>1.评审办法</w:t>
      </w:r>
      <w:bookmarkEnd w:id="22"/>
      <w:bookmarkStart w:id="33" w:name="bookmark261"/>
      <w:bookmarkStart w:id="34" w:name="bookmark263"/>
      <w:bookmarkStart w:id="35" w:name="_Toc30068"/>
      <w:bookmarkStart w:id="36" w:name="_Toc22747"/>
      <w:bookmarkStart w:id="37" w:name="_Toc4220_WPSOffice_Level3"/>
      <w:bookmarkStart w:id="38" w:name="_Toc24697"/>
      <w:bookmarkStart w:id="39" w:name="_Toc16808"/>
      <w:bookmarkStart w:id="40" w:name="bookmark262"/>
      <w:bookmarkStart w:id="41" w:name="_Toc8454"/>
    </w:p>
    <w:p w14:paraId="243F359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kern w:val="2"/>
          <w:sz w:val="24"/>
          <w:szCs w:val="24"/>
          <w:highlight w:val="none"/>
          <w:lang w:val="en-US" w:eastAsia="zh-CN" w:bidi="ar-SA"/>
        </w:rPr>
      </w:pPr>
      <w:bookmarkStart w:id="42" w:name="_Toc20187"/>
      <w:r>
        <w:rPr>
          <w:rFonts w:hint="eastAsia" w:ascii="仿宋" w:hAnsi="仿宋" w:eastAsia="仿宋" w:cs="仿宋"/>
          <w:color w:val="auto"/>
          <w:kern w:val="2"/>
          <w:sz w:val="24"/>
          <w:szCs w:val="24"/>
          <w:highlight w:val="none"/>
          <w:lang w:val="en-US" w:eastAsia="zh-CN" w:bidi="ar-SA"/>
        </w:rPr>
        <w:t>本次框架协议供应商入围征集评审采用最低评标价法。确定初步评审入围供应商时，提交响应文件和符合资格条件、实质性要求的响应单位应当均不少于2家。</w:t>
      </w:r>
      <w:bookmarkEnd w:id="33"/>
      <w:r>
        <w:rPr>
          <w:rFonts w:hint="eastAsia" w:ascii="仿宋" w:hAnsi="仿宋" w:eastAsia="仿宋" w:cs="仿宋"/>
          <w:color w:val="auto"/>
          <w:kern w:val="2"/>
          <w:sz w:val="24"/>
          <w:szCs w:val="24"/>
          <w:highlight w:val="none"/>
          <w:lang w:val="en-US" w:eastAsia="zh-CN" w:bidi="ar-SA"/>
        </w:rPr>
        <w:t>评审工作由赣州旅投景区管理集团有限公司组建的评审委员会负责。评审委员会依据有效报价下浮率从高到低对合格响应单位进行排序，并按20%的淘汰率（至少淘汰1家）确定入围单位。最终入围供应商与采购人签订框架协议。</w:t>
      </w:r>
      <w:bookmarkEnd w:id="42"/>
    </w:p>
    <w:p w14:paraId="0BA14E61">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3" w:name="_Toc11842"/>
      <w:r>
        <w:rPr>
          <w:rFonts w:hint="eastAsia" w:ascii="仿宋" w:hAnsi="仿宋" w:eastAsia="仿宋" w:cs="仿宋"/>
          <w:b/>
          <w:color w:val="auto"/>
          <w:kern w:val="0"/>
          <w:sz w:val="24"/>
          <w:szCs w:val="24"/>
          <w:highlight w:val="none"/>
          <w:lang w:val="en-US" w:eastAsia="zh-CN" w:bidi="ar-SA"/>
        </w:rPr>
        <w:t>2.初步评审</w:t>
      </w:r>
      <w:bookmarkEnd w:id="34"/>
      <w:bookmarkEnd w:id="35"/>
      <w:bookmarkEnd w:id="36"/>
      <w:bookmarkEnd w:id="37"/>
      <w:bookmarkEnd w:id="38"/>
      <w:bookmarkEnd w:id="39"/>
      <w:bookmarkEnd w:id="40"/>
      <w:bookmarkEnd w:id="41"/>
      <w:bookmarkEnd w:id="43"/>
    </w:p>
    <w:p w14:paraId="5C7146C9">
      <w:pPr>
        <w:pStyle w:val="65"/>
        <w:keepNext w:val="0"/>
        <w:keepLines w:val="0"/>
        <w:pageBreakBefore w:val="0"/>
        <w:widowControl w:val="0"/>
        <w:tabs>
          <w:tab w:val="left" w:pos="1021"/>
        </w:tabs>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形式</w:t>
      </w:r>
      <w:r>
        <w:rPr>
          <w:rFonts w:hint="eastAsia" w:ascii="仿宋" w:hAnsi="仿宋" w:eastAsia="仿宋" w:cs="仿宋"/>
          <w:color w:val="auto"/>
          <w:sz w:val="24"/>
          <w:szCs w:val="24"/>
          <w:highlight w:val="none"/>
          <w:lang w:val="en-US" w:eastAsia="zh-CN"/>
        </w:rPr>
        <w:t>、资格</w:t>
      </w:r>
      <w:r>
        <w:rPr>
          <w:rFonts w:hint="eastAsia" w:ascii="仿宋" w:hAnsi="仿宋" w:eastAsia="仿宋" w:cs="仿宋"/>
          <w:color w:val="auto"/>
          <w:sz w:val="24"/>
          <w:szCs w:val="24"/>
          <w:highlight w:val="none"/>
          <w:lang w:val="en-US"/>
        </w:rPr>
        <w:t>评审标准</w:t>
      </w:r>
      <w:r>
        <w:rPr>
          <w:rFonts w:hint="eastAsia" w:ascii="仿宋" w:hAnsi="仿宋" w:eastAsia="仿宋" w:cs="仿宋"/>
          <w:color w:val="auto"/>
          <w:sz w:val="24"/>
          <w:szCs w:val="24"/>
          <w:highlight w:val="none"/>
          <w:lang w:val="en-US" w:eastAsia="zh-CN"/>
        </w:rPr>
        <w:t>如下</w:t>
      </w:r>
      <w:r>
        <w:rPr>
          <w:rFonts w:hint="eastAsia" w:ascii="仿宋" w:hAnsi="仿宋" w:eastAsia="仿宋" w:cs="仿宋"/>
          <w:color w:val="auto"/>
          <w:sz w:val="24"/>
          <w:szCs w:val="24"/>
          <w:highlight w:val="none"/>
          <w:lang w:val="en-US"/>
        </w:rPr>
        <w:t>：</w:t>
      </w:r>
    </w:p>
    <w:tbl>
      <w:tblPr>
        <w:tblStyle w:val="24"/>
        <w:tblW w:w="8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1"/>
        <w:gridCol w:w="1965"/>
        <w:gridCol w:w="5230"/>
      </w:tblGrid>
      <w:tr w14:paraId="6CEF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exact"/>
          <w:jc w:val="center"/>
        </w:trPr>
        <w:tc>
          <w:tcPr>
            <w:tcW w:w="1211" w:type="dxa"/>
            <w:shd w:val="clear" w:color="auto" w:fill="FFFFFF"/>
            <w:vAlign w:val="center"/>
          </w:tcPr>
          <w:p w14:paraId="038B4F38">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lang w:val="en-US"/>
              </w:rPr>
              <w:t>内容</w:t>
            </w:r>
          </w:p>
        </w:tc>
        <w:tc>
          <w:tcPr>
            <w:tcW w:w="1965" w:type="dxa"/>
            <w:shd w:val="clear" w:color="auto" w:fill="FFFFFF"/>
            <w:vAlign w:val="center"/>
          </w:tcPr>
          <w:p w14:paraId="136A0FF9">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rPr>
              <w:t>评审因素</w:t>
            </w:r>
          </w:p>
        </w:tc>
        <w:tc>
          <w:tcPr>
            <w:tcW w:w="5230" w:type="dxa"/>
            <w:shd w:val="clear" w:color="auto" w:fill="FFFFFF"/>
            <w:vAlign w:val="center"/>
          </w:tcPr>
          <w:p w14:paraId="2F0A2D9C">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rPr>
              <w:t>评审标准</w:t>
            </w:r>
          </w:p>
        </w:tc>
      </w:tr>
      <w:tr w14:paraId="31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211" w:type="dxa"/>
            <w:vMerge w:val="restart"/>
            <w:shd w:val="clear" w:color="auto" w:fill="FFFFFF"/>
            <w:vAlign w:val="center"/>
          </w:tcPr>
          <w:p w14:paraId="758FC061">
            <w:pPr>
              <w:pStyle w:val="63"/>
              <w:keepNext w:val="0"/>
              <w:keepLines w:val="0"/>
              <w:pageBreakBefore w:val="0"/>
              <w:widowControl w:val="0"/>
              <w:kinsoku/>
              <w:wordWrap/>
              <w:overflowPunct/>
              <w:topLinePunct w:val="0"/>
              <w:autoSpaceDE/>
              <w:autoSpaceDN/>
              <w:bidi w:val="0"/>
              <w:adjustRightInd/>
              <w:snapToGrid/>
              <w:spacing w:after="20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形式评审</w:t>
            </w:r>
          </w:p>
          <w:p w14:paraId="5778A7C0">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标准</w:t>
            </w:r>
          </w:p>
        </w:tc>
        <w:tc>
          <w:tcPr>
            <w:tcW w:w="1965" w:type="dxa"/>
            <w:shd w:val="clear" w:color="auto" w:fill="FFFFFF"/>
            <w:vAlign w:val="center"/>
          </w:tcPr>
          <w:p w14:paraId="76AA770B">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名称</w:t>
            </w:r>
          </w:p>
        </w:tc>
        <w:tc>
          <w:tcPr>
            <w:tcW w:w="5230" w:type="dxa"/>
            <w:shd w:val="clear" w:color="auto" w:fill="FFFFFF"/>
            <w:vAlign w:val="center"/>
          </w:tcPr>
          <w:p w14:paraId="548DBF0B">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与营业执照一致</w:t>
            </w:r>
          </w:p>
        </w:tc>
      </w:tr>
      <w:tr w14:paraId="2F8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3" w:hRule="exact"/>
          <w:jc w:val="center"/>
        </w:trPr>
        <w:tc>
          <w:tcPr>
            <w:tcW w:w="1211" w:type="dxa"/>
            <w:vMerge w:val="continue"/>
            <w:shd w:val="clear" w:color="auto" w:fill="FFFFFF"/>
            <w:vAlign w:val="center"/>
          </w:tcPr>
          <w:p w14:paraId="33E7905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2D13B766">
            <w:pPr>
              <w:pStyle w:val="63"/>
              <w:keepNext w:val="0"/>
              <w:keepLines w:val="0"/>
              <w:pageBreakBefore w:val="0"/>
              <w:widowControl w:val="0"/>
              <w:kinsoku/>
              <w:wordWrap/>
              <w:overflowPunct/>
              <w:topLinePunct w:val="0"/>
              <w:autoSpaceDE/>
              <w:autoSpaceDN/>
              <w:bidi w:val="0"/>
              <w:adjustRightInd/>
              <w:snapToGrid/>
              <w:spacing w:after="18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报价</w:t>
            </w:r>
            <w:r>
              <w:rPr>
                <w:rStyle w:val="62"/>
                <w:rFonts w:hint="eastAsia" w:ascii="仿宋" w:hAnsi="仿宋" w:eastAsia="仿宋" w:cs="仿宋"/>
                <w:color w:val="auto"/>
                <w:sz w:val="24"/>
                <w:szCs w:val="24"/>
                <w:highlight w:val="none"/>
              </w:rPr>
              <w:t>函</w:t>
            </w:r>
            <w:r>
              <w:rPr>
                <w:rStyle w:val="62"/>
                <w:rFonts w:hint="eastAsia" w:ascii="仿宋" w:hAnsi="仿宋" w:eastAsia="仿宋" w:cs="仿宋"/>
                <w:color w:val="auto"/>
                <w:sz w:val="24"/>
                <w:szCs w:val="24"/>
                <w:highlight w:val="none"/>
                <w:lang w:val="en-US"/>
              </w:rPr>
              <w:t>及附件清单</w:t>
            </w:r>
            <w:r>
              <w:rPr>
                <w:rStyle w:val="62"/>
                <w:rFonts w:hint="eastAsia" w:ascii="仿宋" w:hAnsi="仿宋" w:eastAsia="仿宋" w:cs="仿宋"/>
                <w:color w:val="auto"/>
                <w:sz w:val="24"/>
                <w:szCs w:val="24"/>
                <w:highlight w:val="none"/>
              </w:rPr>
              <w:t>签名盖章</w:t>
            </w:r>
          </w:p>
        </w:tc>
        <w:tc>
          <w:tcPr>
            <w:tcW w:w="5230" w:type="dxa"/>
            <w:shd w:val="clear" w:color="auto" w:fill="FFFFFF"/>
            <w:vAlign w:val="center"/>
          </w:tcPr>
          <w:p w14:paraId="709016C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由</w:t>
            </w:r>
            <w:r>
              <w:rPr>
                <w:rStyle w:val="62"/>
                <w:rFonts w:hint="eastAsia" w:ascii="仿宋" w:hAnsi="仿宋" w:eastAsia="仿宋" w:cs="仿宋"/>
                <w:color w:val="auto"/>
                <w:sz w:val="24"/>
                <w:szCs w:val="24"/>
                <w:highlight w:val="none"/>
              </w:rPr>
              <w:t>法定代表人或其委托代理人签名或加盖单位</w:t>
            </w:r>
            <w:r>
              <w:rPr>
                <w:rStyle w:val="62"/>
                <w:rFonts w:hint="eastAsia" w:ascii="仿宋" w:hAnsi="仿宋" w:eastAsia="仿宋" w:cs="仿宋"/>
                <w:color w:val="auto"/>
                <w:sz w:val="24"/>
                <w:szCs w:val="24"/>
                <w:highlight w:val="none"/>
                <w:lang w:val="en-US"/>
              </w:rPr>
              <w:t>公</w:t>
            </w:r>
            <w:r>
              <w:rPr>
                <w:rStyle w:val="62"/>
                <w:rFonts w:hint="eastAsia" w:ascii="仿宋" w:hAnsi="仿宋" w:eastAsia="仿宋" w:cs="仿宋"/>
                <w:color w:val="auto"/>
                <w:sz w:val="24"/>
                <w:szCs w:val="24"/>
                <w:highlight w:val="none"/>
              </w:rPr>
              <w:t>章。由法定代表人签名的，应附法定代表人身份证明，由代理人签名的，应附授权委托书，身份证明或授权委托书应符合第</w:t>
            </w:r>
            <w:r>
              <w:rPr>
                <w:rStyle w:val="62"/>
                <w:rFonts w:hint="eastAsia" w:ascii="仿宋" w:hAnsi="仿宋" w:eastAsia="仿宋" w:cs="仿宋"/>
                <w:color w:val="auto"/>
                <w:sz w:val="24"/>
                <w:szCs w:val="24"/>
                <w:highlight w:val="none"/>
                <w:lang w:val="en-US"/>
              </w:rPr>
              <w:t>三</w:t>
            </w:r>
            <w:r>
              <w:rPr>
                <w:rStyle w:val="62"/>
                <w:rFonts w:hint="eastAsia" w:ascii="仿宋" w:hAnsi="仿宋" w:eastAsia="仿宋" w:cs="仿宋"/>
                <w:color w:val="auto"/>
                <w:sz w:val="24"/>
                <w:szCs w:val="24"/>
                <w:highlight w:val="none"/>
              </w:rPr>
              <w:t>章“</w:t>
            </w: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文件格式”的规定</w:t>
            </w:r>
          </w:p>
        </w:tc>
      </w:tr>
      <w:tr w14:paraId="454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1211" w:type="dxa"/>
            <w:vMerge w:val="continue"/>
            <w:shd w:val="clear" w:color="auto" w:fill="FFFFFF"/>
            <w:vAlign w:val="center"/>
          </w:tcPr>
          <w:p w14:paraId="2ABFE7C7">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538A5B9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w:t>
            </w:r>
          </w:p>
        </w:tc>
        <w:tc>
          <w:tcPr>
            <w:tcW w:w="5230" w:type="dxa"/>
            <w:shd w:val="clear" w:color="auto" w:fill="FFFFFF"/>
            <w:vAlign w:val="center"/>
          </w:tcPr>
          <w:p w14:paraId="0C7E0E59">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w:t>
            </w:r>
            <w:r>
              <w:rPr>
                <w:rStyle w:val="62"/>
                <w:rFonts w:hint="eastAsia" w:ascii="仿宋" w:hAnsi="仿宋" w:eastAsia="仿宋" w:cs="仿宋"/>
                <w:color w:val="auto"/>
                <w:sz w:val="24"/>
                <w:szCs w:val="24"/>
                <w:highlight w:val="none"/>
                <w:lang w:val="en-US"/>
              </w:rPr>
              <w:t>三</w:t>
            </w:r>
            <w:r>
              <w:rPr>
                <w:rStyle w:val="62"/>
                <w:rFonts w:hint="eastAsia" w:ascii="仿宋" w:hAnsi="仿宋" w:eastAsia="仿宋" w:cs="仿宋"/>
                <w:color w:val="auto"/>
                <w:sz w:val="24"/>
                <w:szCs w:val="24"/>
                <w:highlight w:val="none"/>
              </w:rPr>
              <w:t>章“</w:t>
            </w: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文件格式”的规定</w:t>
            </w:r>
          </w:p>
        </w:tc>
      </w:tr>
      <w:tr w14:paraId="30F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1211" w:type="dxa"/>
            <w:vMerge w:val="restart"/>
            <w:shd w:val="clear" w:color="auto" w:fill="FFFFFF"/>
            <w:vAlign w:val="center"/>
          </w:tcPr>
          <w:p w14:paraId="233C1645">
            <w:pPr>
              <w:pStyle w:val="63"/>
              <w:keepNext w:val="0"/>
              <w:keepLines w:val="0"/>
              <w:pageBreakBefore w:val="0"/>
              <w:widowControl w:val="0"/>
              <w:kinsoku/>
              <w:wordWrap/>
              <w:overflowPunct/>
              <w:topLinePunct w:val="0"/>
              <w:autoSpaceDE/>
              <w:autoSpaceDN/>
              <w:bidi w:val="0"/>
              <w:adjustRightInd/>
              <w:snapToGrid/>
              <w:spacing w:after="20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资格评审</w:t>
            </w:r>
          </w:p>
          <w:p w14:paraId="166939D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标准</w:t>
            </w:r>
          </w:p>
        </w:tc>
        <w:tc>
          <w:tcPr>
            <w:tcW w:w="1965" w:type="dxa"/>
            <w:shd w:val="clear" w:color="auto" w:fill="FFFFFF"/>
            <w:vAlign w:val="center"/>
          </w:tcPr>
          <w:p w14:paraId="382F3231">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营业执照</w:t>
            </w:r>
          </w:p>
        </w:tc>
        <w:tc>
          <w:tcPr>
            <w:tcW w:w="5230" w:type="dxa"/>
            <w:shd w:val="clear" w:color="auto" w:fill="FFFFFF"/>
            <w:vAlign w:val="center"/>
          </w:tcPr>
          <w:p w14:paraId="401F7B0E">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3.1</w:t>
            </w:r>
            <w:r>
              <w:rPr>
                <w:rStyle w:val="62"/>
                <w:rFonts w:hint="eastAsia" w:ascii="仿宋" w:hAnsi="仿宋" w:eastAsia="仿宋" w:cs="仿宋"/>
                <w:color w:val="auto"/>
                <w:sz w:val="24"/>
                <w:szCs w:val="24"/>
                <w:highlight w:val="none"/>
              </w:rPr>
              <w:t>项规定，具备有效的营业执照</w:t>
            </w:r>
          </w:p>
        </w:tc>
      </w:tr>
      <w:tr w14:paraId="421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1211" w:type="dxa"/>
            <w:vMerge w:val="continue"/>
            <w:shd w:val="clear" w:color="auto" w:fill="FFFFFF"/>
            <w:vAlign w:val="center"/>
          </w:tcPr>
          <w:p w14:paraId="706FB51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10CDAFD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财务要求</w:t>
            </w:r>
          </w:p>
        </w:tc>
        <w:tc>
          <w:tcPr>
            <w:tcW w:w="5230" w:type="dxa"/>
            <w:shd w:val="clear" w:color="auto" w:fill="FFFFFF"/>
            <w:vAlign w:val="center"/>
          </w:tcPr>
          <w:p w14:paraId="4FBF26E9">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3.2</w:t>
            </w:r>
            <w:r>
              <w:rPr>
                <w:rStyle w:val="62"/>
                <w:rFonts w:hint="eastAsia" w:ascii="仿宋" w:hAnsi="仿宋" w:eastAsia="仿宋" w:cs="仿宋"/>
                <w:color w:val="auto"/>
                <w:sz w:val="24"/>
                <w:szCs w:val="24"/>
                <w:highlight w:val="none"/>
              </w:rPr>
              <w:t>项规定</w:t>
            </w:r>
          </w:p>
        </w:tc>
      </w:tr>
      <w:tr w14:paraId="05A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1211" w:type="dxa"/>
            <w:vMerge w:val="continue"/>
            <w:shd w:val="clear" w:color="auto" w:fill="FFFFFF"/>
            <w:vAlign w:val="center"/>
          </w:tcPr>
          <w:p w14:paraId="40E4EB3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70CAF57D">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业绩要求</w:t>
            </w:r>
          </w:p>
        </w:tc>
        <w:tc>
          <w:tcPr>
            <w:tcW w:w="5230" w:type="dxa"/>
            <w:shd w:val="clear" w:color="auto" w:fill="FFFFFF"/>
            <w:vAlign w:val="center"/>
          </w:tcPr>
          <w:p w14:paraId="61DB19C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3.3</w:t>
            </w:r>
            <w:r>
              <w:rPr>
                <w:rStyle w:val="62"/>
                <w:rFonts w:hint="eastAsia" w:ascii="仿宋" w:hAnsi="仿宋" w:eastAsia="仿宋" w:cs="仿宋"/>
                <w:color w:val="auto"/>
                <w:sz w:val="24"/>
                <w:szCs w:val="24"/>
                <w:highlight w:val="none"/>
              </w:rPr>
              <w:t>项规定</w:t>
            </w:r>
          </w:p>
        </w:tc>
      </w:tr>
      <w:tr w14:paraId="690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1211" w:type="dxa"/>
            <w:vMerge w:val="continue"/>
            <w:shd w:val="clear" w:color="auto" w:fill="FFFFFF"/>
            <w:vAlign w:val="center"/>
          </w:tcPr>
          <w:p w14:paraId="0FF2C9A2">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644AF528">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信誉要求</w:t>
            </w:r>
          </w:p>
        </w:tc>
        <w:tc>
          <w:tcPr>
            <w:tcW w:w="5230" w:type="dxa"/>
            <w:shd w:val="clear" w:color="auto" w:fill="FFFFFF"/>
            <w:vAlign w:val="center"/>
          </w:tcPr>
          <w:p w14:paraId="012C85B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3.4</w:t>
            </w:r>
            <w:r>
              <w:rPr>
                <w:rStyle w:val="62"/>
                <w:rFonts w:hint="eastAsia" w:ascii="仿宋" w:hAnsi="仿宋" w:eastAsia="仿宋" w:cs="仿宋"/>
                <w:color w:val="auto"/>
                <w:sz w:val="24"/>
                <w:szCs w:val="24"/>
                <w:highlight w:val="none"/>
              </w:rPr>
              <w:t>项规定</w:t>
            </w:r>
          </w:p>
        </w:tc>
      </w:tr>
      <w:tr w14:paraId="4CF4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exact"/>
          <w:jc w:val="center"/>
        </w:trPr>
        <w:tc>
          <w:tcPr>
            <w:tcW w:w="1211" w:type="dxa"/>
            <w:vMerge w:val="continue"/>
            <w:shd w:val="clear" w:color="auto" w:fill="FFFFFF"/>
            <w:vAlign w:val="center"/>
          </w:tcPr>
          <w:p w14:paraId="4625B61A">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27413445">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其他要求</w:t>
            </w:r>
          </w:p>
        </w:tc>
        <w:tc>
          <w:tcPr>
            <w:tcW w:w="5230" w:type="dxa"/>
            <w:shd w:val="clear" w:color="auto" w:fill="FFFFFF"/>
            <w:vAlign w:val="center"/>
          </w:tcPr>
          <w:p w14:paraId="2DBD3C2F">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3.5及3.6</w:t>
            </w:r>
            <w:r>
              <w:rPr>
                <w:rStyle w:val="62"/>
                <w:rFonts w:hint="eastAsia" w:ascii="仿宋" w:hAnsi="仿宋" w:eastAsia="仿宋" w:cs="仿宋"/>
                <w:color w:val="auto"/>
                <w:sz w:val="24"/>
                <w:szCs w:val="24"/>
                <w:highlight w:val="none"/>
              </w:rPr>
              <w:t>项规定</w:t>
            </w:r>
          </w:p>
        </w:tc>
      </w:tr>
      <w:tr w14:paraId="31D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1211" w:type="dxa"/>
            <w:vMerge w:val="continue"/>
            <w:shd w:val="clear" w:color="auto" w:fill="FFFFFF"/>
            <w:vAlign w:val="center"/>
          </w:tcPr>
          <w:p w14:paraId="54510A29">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0393AFEA">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不存在</w:t>
            </w:r>
            <w:r>
              <w:rPr>
                <w:rStyle w:val="62"/>
                <w:rFonts w:hint="eastAsia" w:ascii="仿宋" w:hAnsi="仿宋" w:eastAsia="仿宋" w:cs="仿宋"/>
                <w:color w:val="auto"/>
                <w:sz w:val="24"/>
                <w:szCs w:val="24"/>
                <w:highlight w:val="none"/>
                <w:lang w:val="en-US"/>
              </w:rPr>
              <w:t>供应商不得存在</w:t>
            </w:r>
            <w:r>
              <w:rPr>
                <w:rStyle w:val="62"/>
                <w:rFonts w:hint="eastAsia" w:ascii="仿宋" w:hAnsi="仿宋" w:eastAsia="仿宋" w:cs="仿宋"/>
                <w:color w:val="auto"/>
                <w:sz w:val="24"/>
                <w:szCs w:val="24"/>
                <w:highlight w:val="none"/>
              </w:rPr>
              <w:t>的情形</w:t>
            </w:r>
          </w:p>
        </w:tc>
        <w:tc>
          <w:tcPr>
            <w:tcW w:w="5230" w:type="dxa"/>
            <w:shd w:val="clear" w:color="auto" w:fill="FFFFFF"/>
            <w:vAlign w:val="center"/>
          </w:tcPr>
          <w:p w14:paraId="27463B9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不存在第二章“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4</w:t>
            </w:r>
            <w:r>
              <w:rPr>
                <w:rStyle w:val="62"/>
                <w:rFonts w:hint="eastAsia" w:ascii="仿宋" w:hAnsi="仿宋" w:eastAsia="仿宋" w:cs="仿宋"/>
                <w:color w:val="auto"/>
                <w:sz w:val="24"/>
                <w:szCs w:val="24"/>
                <w:highlight w:val="none"/>
              </w:rPr>
              <w:t>项规定的任何一种情形</w:t>
            </w:r>
          </w:p>
        </w:tc>
      </w:tr>
    </w:tbl>
    <w:p w14:paraId="0E297AC3">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4" w:name="_Toc13086"/>
      <w:r>
        <w:rPr>
          <w:rFonts w:hint="eastAsia" w:ascii="仿宋" w:hAnsi="仿宋" w:eastAsia="仿宋" w:cs="仿宋"/>
          <w:b/>
          <w:color w:val="auto"/>
          <w:kern w:val="0"/>
          <w:sz w:val="24"/>
          <w:szCs w:val="24"/>
          <w:highlight w:val="none"/>
          <w:lang w:val="en-US" w:eastAsia="zh-CN" w:bidi="ar-SA"/>
        </w:rPr>
        <w:t>3.价格评审</w:t>
      </w:r>
      <w:bookmarkEnd w:id="44"/>
    </w:p>
    <w:p w14:paraId="405D7AF8">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经过评审后的有效报价下浮率进行由高到低进行排名</w:t>
      </w:r>
      <w:r>
        <w:rPr>
          <w:rFonts w:hint="eastAsia" w:ascii="仿宋" w:hAnsi="仿宋" w:eastAsia="仿宋" w:cs="仿宋"/>
          <w:b/>
          <w:bCs/>
          <w:color w:val="auto"/>
          <w:kern w:val="2"/>
          <w:sz w:val="24"/>
          <w:szCs w:val="24"/>
          <w:highlight w:val="none"/>
          <w:lang w:val="en-US" w:eastAsia="zh-CN" w:bidi="ar-SA"/>
        </w:rPr>
        <w:t>。</w:t>
      </w:r>
    </w:p>
    <w:p w14:paraId="12705C7F">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本次采购为赣州旅投景区管理集团有限公司经营性采购，为避免因进项不足额抵扣销项导致的亏损，若中标单位为小规模纳税人，则在不含税采购价基础上，付款时扣除因进项不足导致招标人的税负损失，计算方式为：扣除金额=不含税采购价</w:t>
      </w:r>
      <w:r>
        <w:rPr>
          <w:rStyle w:val="62"/>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（一般纳税人税率-小规模纳税人税率）</w:t>
      </w:r>
      <w:r>
        <w:rPr>
          <w:rStyle w:val="62"/>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1+招标人附加税率），请各小规模纳税人综合考虑后进行响应下浮报价。在免征增值税政策范围内的产品，可按税收规定开具相应免税发票，不进行税金差额扣款。流通环节征税的农产品，小规模纳税人可提供3%征收率的专用发票，不进行税金差额扣款。</w:t>
      </w:r>
    </w:p>
    <w:p w14:paraId="738DFE81">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5" w:name="_Toc9411"/>
      <w:r>
        <w:rPr>
          <w:rFonts w:hint="eastAsia" w:ascii="仿宋" w:hAnsi="仿宋" w:eastAsia="仿宋" w:cs="仿宋"/>
          <w:b/>
          <w:color w:val="auto"/>
          <w:kern w:val="0"/>
          <w:sz w:val="24"/>
          <w:szCs w:val="24"/>
          <w:highlight w:val="none"/>
          <w:lang w:val="en-US" w:eastAsia="zh-CN" w:bidi="ar-SA"/>
        </w:rPr>
        <w:t>4.评审结果</w:t>
      </w:r>
      <w:bookmarkEnd w:id="45"/>
    </w:p>
    <w:p w14:paraId="4C0E51B3">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val="en-US"/>
        </w:rPr>
        <w:t>委员完成</w:t>
      </w:r>
      <w:r>
        <w:rPr>
          <w:rFonts w:hint="eastAsia" w:ascii="仿宋" w:hAnsi="仿宋" w:eastAsia="仿宋" w:cs="仿宋"/>
          <w:color w:val="auto"/>
          <w:sz w:val="24"/>
          <w:szCs w:val="24"/>
          <w:highlight w:val="none"/>
          <w:lang w:val="en-US" w:eastAsia="zh-CN"/>
        </w:rPr>
        <w:t>初步评审、价格评审</w:t>
      </w:r>
      <w:r>
        <w:rPr>
          <w:rFonts w:hint="eastAsia" w:ascii="仿宋" w:hAnsi="仿宋" w:eastAsia="仿宋" w:cs="仿宋"/>
          <w:color w:val="auto"/>
          <w:sz w:val="24"/>
          <w:szCs w:val="24"/>
          <w:highlight w:val="none"/>
          <w:lang w:val="en-US"/>
        </w:rPr>
        <w:t>后，向</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lang w:val="en-US"/>
        </w:rPr>
        <w:t>人提交书面</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val="en-US"/>
        </w:rPr>
        <w:t>报告和入围框架协议供应商</w:t>
      </w:r>
      <w:r>
        <w:rPr>
          <w:rFonts w:hint="eastAsia" w:ascii="仿宋" w:hAnsi="仿宋" w:eastAsia="仿宋" w:cs="仿宋"/>
          <w:color w:val="auto"/>
          <w:sz w:val="24"/>
          <w:szCs w:val="24"/>
          <w:highlight w:val="none"/>
          <w:lang w:val="en-US" w:eastAsia="zh-CN"/>
        </w:rPr>
        <w:t>名单</w:t>
      </w:r>
      <w:r>
        <w:rPr>
          <w:rFonts w:hint="eastAsia" w:ascii="仿宋" w:hAnsi="仿宋" w:eastAsia="仿宋" w:cs="仿宋"/>
          <w:color w:val="auto"/>
          <w:sz w:val="24"/>
          <w:szCs w:val="24"/>
          <w:highlight w:val="none"/>
          <w:lang w:val="en-US"/>
        </w:rPr>
        <w:t>。</w:t>
      </w:r>
    </w:p>
    <w:p w14:paraId="5788F425">
      <w:pPr>
        <w:pStyle w:val="8"/>
        <w:keepNext w:val="0"/>
        <w:keepLines w:val="0"/>
        <w:pageBreakBefore w:val="0"/>
        <w:widowControl w:val="0"/>
        <w:kinsoku/>
        <w:wordWrap/>
        <w:overflowPunct/>
        <w:topLinePunct w:val="0"/>
        <w:autoSpaceDE/>
        <w:autoSpaceDN/>
        <w:bidi w:val="0"/>
        <w:adjustRightInd/>
        <w:snapToGrid/>
        <w:spacing w:after="313" w:afterLines="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6" w:name="_Toc22108"/>
      <w:r>
        <w:rPr>
          <w:rFonts w:hint="eastAsia" w:ascii="仿宋" w:hAnsi="仿宋" w:eastAsia="仿宋" w:cs="仿宋"/>
          <w:b/>
          <w:color w:val="auto"/>
          <w:kern w:val="0"/>
          <w:sz w:val="24"/>
          <w:szCs w:val="24"/>
          <w:highlight w:val="none"/>
          <w:lang w:val="en-US" w:eastAsia="zh-CN" w:bidi="ar-SA"/>
        </w:rPr>
        <w:t>5.框架协议签订与正式合同签约</w:t>
      </w:r>
      <w:bookmarkEnd w:id="46"/>
    </w:p>
    <w:p w14:paraId="123B642D">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5.1框架协议签订</w:t>
      </w:r>
    </w:p>
    <w:p w14:paraId="045C7DA4">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入围供应商应按其有效报价下浮率，与采购人签订框架协议，明确双方合作框架及价格基准。</w:t>
      </w:r>
    </w:p>
    <w:p w14:paraId="5086F1CF">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5.2正式采购合同签约</w:t>
      </w:r>
    </w:p>
    <w:p w14:paraId="1C7489CD">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采购人应从入围供应商中，按照有效报价下浮率由高至低的顺序，确定排名第一的供应商为签约供应商，并与其签订正式采购合同。若排名第一的供应商出现下列情形之一，采购人可按评审排名顺序依次与后续供应商签约：</w:t>
      </w:r>
    </w:p>
    <w:p w14:paraId="590FE58F">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（1）</w:t>
      </w:r>
      <w:r>
        <w:rPr>
          <w:rStyle w:val="62"/>
          <w:rFonts w:hint="eastAsia" w:ascii="仿宋" w:hAnsi="仿宋" w:eastAsia="仿宋" w:cs="仿宋"/>
          <w:b w:val="0"/>
          <w:bCs w:val="0"/>
          <w:color w:val="auto"/>
          <w:sz w:val="24"/>
          <w:szCs w:val="24"/>
          <w:highlight w:val="none"/>
          <w:lang w:val="en-US" w:eastAsia="zh-CN"/>
        </w:rPr>
        <w:t>放弃签约的；</w:t>
      </w:r>
    </w:p>
    <w:p w14:paraId="6486F166">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Style w:val="62"/>
          <w:rFonts w:hint="eastAsia" w:ascii="仿宋" w:hAnsi="仿宋" w:eastAsia="仿宋" w:cs="仿宋"/>
          <w:b w:val="0"/>
          <w:bCs w:val="0"/>
          <w:color w:val="auto"/>
          <w:sz w:val="24"/>
          <w:szCs w:val="24"/>
          <w:highlight w:val="none"/>
          <w:lang w:val="en-US" w:eastAsia="zh-CN"/>
        </w:rPr>
        <w:t>因不可抗力不能履行合同的；</w:t>
      </w:r>
    </w:p>
    <w:p w14:paraId="76976483">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（3）未能在规定期限内提交履约保证金的。</w:t>
      </w:r>
    </w:p>
    <w:p w14:paraId="61051DFE">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2"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因上所列情形未能签约的供应商，不得以任何理由重新获得签约资格。</w:t>
      </w:r>
    </w:p>
    <w:bookmarkEnd w:id="23"/>
    <w:bookmarkEnd w:id="24"/>
    <w:bookmarkEnd w:id="25"/>
    <w:bookmarkEnd w:id="26"/>
    <w:bookmarkEnd w:id="27"/>
    <w:bookmarkEnd w:id="28"/>
    <w:bookmarkEnd w:id="29"/>
    <w:bookmarkEnd w:id="30"/>
    <w:bookmarkEnd w:id="31"/>
    <w:bookmarkEnd w:id="32"/>
    <w:p w14:paraId="318AFC6B">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5254E85">
      <w:pPr>
        <w:pStyle w:val="3"/>
        <w:pageBreakBefore w:val="0"/>
        <w:numPr>
          <w:ilvl w:val="0"/>
          <w:numId w:val="0"/>
        </w:numPr>
        <w:kinsoku/>
        <w:wordWrap/>
        <w:overflowPunct/>
        <w:bidi w:val="0"/>
        <w:spacing w:line="520" w:lineRule="exact"/>
        <w:jc w:val="center"/>
        <w:textAlignment w:val="auto"/>
        <w:rPr>
          <w:rFonts w:hint="eastAsia" w:ascii="仿宋" w:hAnsi="仿宋" w:eastAsia="仿宋" w:cs="仿宋"/>
          <w:color w:val="auto"/>
          <w:sz w:val="44"/>
          <w:szCs w:val="44"/>
          <w:highlight w:val="none"/>
        </w:rPr>
      </w:pPr>
      <w:bookmarkStart w:id="47" w:name="_Toc22633"/>
      <w:r>
        <w:rPr>
          <w:rFonts w:hint="eastAsia" w:ascii="仿宋" w:hAnsi="仿宋" w:eastAsia="仿宋" w:cs="仿宋"/>
          <w:color w:val="auto"/>
          <w:sz w:val="44"/>
          <w:szCs w:val="44"/>
          <w:highlight w:val="none"/>
        </w:rPr>
        <w:t>第</w:t>
      </w:r>
      <w:r>
        <w:rPr>
          <w:rFonts w:hint="eastAsia" w:ascii="仿宋" w:hAnsi="仿宋" w:eastAsia="仿宋" w:cs="仿宋"/>
          <w:color w:val="auto"/>
          <w:sz w:val="44"/>
          <w:szCs w:val="44"/>
          <w:highlight w:val="none"/>
          <w:lang w:val="en-US" w:eastAsia="zh-CN"/>
        </w:rPr>
        <w:t>四</w:t>
      </w:r>
      <w:r>
        <w:rPr>
          <w:rFonts w:hint="eastAsia" w:ascii="仿宋" w:hAnsi="仿宋" w:eastAsia="仿宋" w:cs="仿宋"/>
          <w:color w:val="auto"/>
          <w:sz w:val="44"/>
          <w:szCs w:val="44"/>
          <w:highlight w:val="none"/>
        </w:rPr>
        <w:t>章</w:t>
      </w:r>
      <w:r>
        <w:rPr>
          <w:rFonts w:hint="eastAsia" w:ascii="仿宋" w:hAnsi="仿宋" w:eastAsia="仿宋" w:cs="仿宋"/>
          <w:color w:val="auto"/>
          <w:sz w:val="44"/>
          <w:szCs w:val="44"/>
          <w:highlight w:val="none"/>
          <w:lang w:val="en-US" w:eastAsia="zh-CN"/>
        </w:rPr>
        <w:t>响应</w:t>
      </w:r>
      <w:r>
        <w:rPr>
          <w:rFonts w:hint="eastAsia" w:ascii="仿宋" w:hAnsi="仿宋" w:eastAsia="仿宋" w:cs="仿宋"/>
          <w:color w:val="auto"/>
          <w:sz w:val="44"/>
          <w:szCs w:val="44"/>
          <w:highlight w:val="none"/>
        </w:rPr>
        <w:t>文件格式</w:t>
      </w:r>
      <w:bookmarkEnd w:id="47"/>
    </w:p>
    <w:p w14:paraId="439A18C5">
      <w:pPr>
        <w:pageBreakBefore w:val="0"/>
        <w:kinsoku/>
        <w:wordWrap/>
        <w:overflowPunct/>
        <w:bidi w:val="0"/>
        <w:spacing w:line="520" w:lineRule="exact"/>
        <w:jc w:val="righ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（正本    副本）</w:t>
      </w:r>
    </w:p>
    <w:p w14:paraId="42C3198B">
      <w:pPr>
        <w:pageBreakBefore w:val="0"/>
        <w:shd w:val="clear" w:color="auto" w:fill="FFFFFF"/>
        <w:kinsoku/>
        <w:wordWrap/>
        <w:overflowPunct/>
        <w:bidi w:val="0"/>
        <w:spacing w:line="520" w:lineRule="exact"/>
        <w:jc w:val="right"/>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　　</w:t>
      </w:r>
    </w:p>
    <w:p w14:paraId="15016A2E">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1AB34B93">
      <w:pPr>
        <w:pageBreakBefore w:val="0"/>
        <w:kinsoku/>
        <w:wordWrap/>
        <w:overflowPunct/>
        <w:bidi w:val="0"/>
        <w:spacing w:line="520" w:lineRule="exact"/>
        <w:jc w:val="center"/>
        <w:textAlignment w:val="auto"/>
        <w:rPr>
          <w:rFonts w:hint="eastAsia" w:ascii="仿宋" w:hAnsi="仿宋" w:eastAsia="仿宋" w:cs="仿宋"/>
          <w:b/>
          <w:bCs/>
          <w:color w:val="auto"/>
          <w:sz w:val="24"/>
          <w:szCs w:val="24"/>
          <w:highlight w:val="none"/>
        </w:rPr>
      </w:pPr>
    </w:p>
    <w:p w14:paraId="580AB16D">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u w:val="single"/>
          <w:lang w:val="en-US" w:eastAsia="zh-CN"/>
        </w:rPr>
        <w:t>赣州旅投景区管理集团有限公司家禽类产品2026-2027年度框架协议供应商入围征集</w:t>
      </w:r>
      <w:r>
        <w:rPr>
          <w:rFonts w:hint="eastAsia" w:ascii="仿宋" w:hAnsi="仿宋" w:eastAsia="仿宋" w:cs="仿宋"/>
          <w:b/>
          <w:bCs/>
          <w:color w:val="auto"/>
          <w:sz w:val="32"/>
          <w:szCs w:val="32"/>
          <w:highlight w:val="none"/>
          <w:u w:val="single"/>
        </w:rPr>
        <w:t>项目</w:t>
      </w:r>
    </w:p>
    <w:p w14:paraId="32BC293D">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b/>
          <w:bCs/>
          <w:color w:val="auto"/>
          <w:sz w:val="32"/>
          <w:szCs w:val="32"/>
          <w:highlight w:val="none"/>
          <w:lang w:val="en-US" w:eastAsia="zh-CN"/>
        </w:rPr>
      </w:pPr>
    </w:p>
    <w:p w14:paraId="2DCA0BEC">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b/>
          <w:bCs/>
          <w:color w:val="auto"/>
          <w:sz w:val="48"/>
          <w:szCs w:val="48"/>
          <w:highlight w:val="none"/>
        </w:rPr>
      </w:pPr>
      <w:r>
        <w:rPr>
          <w:rFonts w:hint="eastAsia" w:ascii="仿宋" w:hAnsi="仿宋" w:eastAsia="仿宋" w:cs="仿宋"/>
          <w:b/>
          <w:bCs/>
          <w:color w:val="auto"/>
          <w:sz w:val="48"/>
          <w:szCs w:val="48"/>
          <w:highlight w:val="none"/>
          <w:lang w:val="en-US" w:eastAsia="zh-CN"/>
        </w:rPr>
        <w:t>响 应</w:t>
      </w:r>
      <w:r>
        <w:rPr>
          <w:rFonts w:hint="eastAsia" w:ascii="仿宋" w:hAnsi="仿宋" w:eastAsia="仿宋" w:cs="仿宋"/>
          <w:b/>
          <w:bCs/>
          <w:color w:val="auto"/>
          <w:sz w:val="48"/>
          <w:szCs w:val="48"/>
          <w:highlight w:val="none"/>
        </w:rPr>
        <w:t xml:space="preserve"> 文 件</w:t>
      </w:r>
    </w:p>
    <w:p w14:paraId="4D1FD860">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7A508806">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0448E8FC">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7C95E046">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450D9520">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2794DEB9">
      <w:pPr>
        <w:pStyle w:val="8"/>
        <w:pageBreakBefore w:val="0"/>
        <w:kinsoku/>
        <w:wordWrap/>
        <w:overflowPunct/>
        <w:bidi w:val="0"/>
        <w:spacing w:line="520" w:lineRule="exact"/>
        <w:jc w:val="both"/>
        <w:textAlignment w:val="auto"/>
        <w:rPr>
          <w:rFonts w:hint="eastAsia" w:ascii="仿宋" w:hAnsi="仿宋" w:eastAsia="仿宋" w:cs="仿宋"/>
          <w:color w:val="auto"/>
          <w:sz w:val="24"/>
          <w:szCs w:val="24"/>
          <w:highlight w:val="none"/>
          <w:lang w:val="en-US" w:eastAsia="zh-CN"/>
        </w:rPr>
      </w:pPr>
    </w:p>
    <w:p w14:paraId="6481BCB6">
      <w:pPr>
        <w:pageBreakBefore w:val="0"/>
        <w:kinsoku/>
        <w:wordWrap/>
        <w:overflowPunct/>
        <w:bidi w:val="0"/>
        <w:spacing w:line="520" w:lineRule="exact"/>
        <w:textAlignment w:val="auto"/>
        <w:rPr>
          <w:rFonts w:hint="eastAsia" w:ascii="仿宋" w:hAnsi="仿宋" w:eastAsia="仿宋" w:cs="仿宋"/>
          <w:color w:val="auto"/>
          <w:sz w:val="24"/>
          <w:szCs w:val="24"/>
          <w:highlight w:val="none"/>
          <w:lang w:val="en-US" w:eastAsia="zh-CN"/>
        </w:rPr>
      </w:pPr>
    </w:p>
    <w:p w14:paraId="22210C2E">
      <w:pPr>
        <w:pageBreakBefore w:val="0"/>
        <w:kinsoku/>
        <w:wordWrap/>
        <w:overflowPunct/>
        <w:bidi w:val="0"/>
        <w:spacing w:line="520" w:lineRule="exact"/>
        <w:textAlignment w:val="auto"/>
        <w:rPr>
          <w:rFonts w:hint="eastAsia" w:ascii="仿宋" w:hAnsi="仿宋" w:eastAsia="仿宋" w:cs="仿宋"/>
          <w:color w:val="auto"/>
          <w:sz w:val="32"/>
          <w:szCs w:val="32"/>
          <w:highlight w:val="none"/>
        </w:rPr>
      </w:pPr>
    </w:p>
    <w:p w14:paraId="2D5C1456">
      <w:pPr>
        <w:keepNext w:val="0"/>
        <w:keepLines w:val="0"/>
        <w:pageBreakBefore w:val="0"/>
        <w:widowControl w:val="0"/>
        <w:kinsoku/>
        <w:wordWrap/>
        <w:overflowPunct/>
        <w:topLinePunct w:val="0"/>
        <w:autoSpaceDE/>
        <w:autoSpaceDN/>
        <w:bidi w:val="0"/>
        <w:adjustRightInd/>
        <w:snapToGrid/>
        <w:spacing w:after="313" w:afterLines="100" w:line="520" w:lineRule="exact"/>
        <w:jc w:val="lef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响应</w:t>
      </w:r>
      <w:r>
        <w:rPr>
          <w:rFonts w:hint="eastAsia" w:ascii="仿宋" w:hAnsi="仿宋" w:eastAsia="仿宋" w:cs="仿宋"/>
          <w:color w:val="auto"/>
          <w:sz w:val="30"/>
          <w:szCs w:val="30"/>
          <w:highlight w:val="none"/>
        </w:rPr>
        <w:t>单位</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公章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u w:val="single"/>
        </w:rPr>
        <w:t>　</w:t>
      </w:r>
      <w:r>
        <w:rPr>
          <w:rFonts w:hint="eastAsia" w:ascii="仿宋" w:hAnsi="仿宋" w:eastAsia="仿宋" w:cs="仿宋"/>
          <w:color w:val="auto"/>
          <w:sz w:val="30"/>
          <w:szCs w:val="30"/>
          <w:highlight w:val="none"/>
          <w:u w:val="single"/>
          <w:lang w:val="en-US" w:eastAsia="zh-CN"/>
        </w:rPr>
        <w:t xml:space="preserve">                             </w:t>
      </w:r>
    </w:p>
    <w:p w14:paraId="57C8B3FB">
      <w:pPr>
        <w:keepNext w:val="0"/>
        <w:keepLines w:val="0"/>
        <w:pageBreakBefore w:val="0"/>
        <w:widowControl w:val="0"/>
        <w:kinsoku/>
        <w:wordWrap/>
        <w:overflowPunct/>
        <w:topLinePunct w:val="0"/>
        <w:autoSpaceDE/>
        <w:autoSpaceDN/>
        <w:bidi w:val="0"/>
        <w:adjustRightInd/>
        <w:snapToGrid/>
        <w:spacing w:after="313" w:afterLines="100" w:line="520" w:lineRule="exact"/>
        <w:jc w:val="left"/>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法定代表人或其委托代理人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签名或印章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u w:val="single"/>
          <w:lang w:val="en-US" w:eastAsia="zh-CN"/>
        </w:rPr>
        <w:t xml:space="preserve">            </w:t>
      </w:r>
    </w:p>
    <w:p w14:paraId="57456C6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u w:val="none"/>
          <w:lang w:val="en-US" w:eastAsia="zh-CN"/>
        </w:rPr>
        <w:t>联系电话：</w:t>
      </w:r>
      <w:r>
        <w:rPr>
          <w:rFonts w:hint="eastAsia" w:ascii="仿宋" w:hAnsi="仿宋" w:eastAsia="仿宋" w:cs="仿宋"/>
          <w:color w:val="auto"/>
          <w:sz w:val="30"/>
          <w:szCs w:val="30"/>
          <w:highlight w:val="none"/>
          <w:u w:val="single"/>
          <w:lang w:val="en-US" w:eastAsia="zh-CN"/>
        </w:rPr>
        <w:t xml:space="preserve">                                          </w:t>
      </w:r>
    </w:p>
    <w:p w14:paraId="7157398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30"/>
          <w:szCs w:val="30"/>
          <w:highlight w:val="none"/>
          <w:u w:val="single"/>
          <w:lang w:val="en-US" w:eastAsia="zh-CN"/>
        </w:rPr>
      </w:pPr>
    </w:p>
    <w:p w14:paraId="2C45843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30"/>
          <w:szCs w:val="30"/>
          <w:highlight w:val="none"/>
          <w:lang w:val="en-US" w:eastAsia="zh-CN"/>
        </w:rPr>
        <w:sectPr>
          <w:pgSz w:w="11907" w:h="16839"/>
          <w:pgMar w:top="1440" w:right="1800" w:bottom="1440" w:left="1800" w:header="851" w:footer="992" w:gutter="0"/>
          <w:cols w:space="720" w:num="1"/>
          <w:docGrid w:linePitch="312" w:charSpace="0"/>
        </w:sectPr>
      </w:pP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年</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月</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日</w:t>
      </w:r>
    </w:p>
    <w:p w14:paraId="411EE005">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48" w:name="授权书格式"/>
      <w:bookmarkEnd w:id="48"/>
      <w:bookmarkStart w:id="49" w:name="_Toc20072"/>
      <w:r>
        <w:rPr>
          <w:rFonts w:hint="eastAsia" w:ascii="仿宋" w:hAnsi="仿宋" w:eastAsia="仿宋" w:cs="仿宋"/>
          <w:b/>
          <w:bCs/>
          <w:color w:val="auto"/>
          <w:sz w:val="32"/>
          <w:szCs w:val="32"/>
          <w:highlight w:val="none"/>
        </w:rPr>
        <w:t>报  价  函</w:t>
      </w:r>
      <w:bookmarkEnd w:id="49"/>
    </w:p>
    <w:p w14:paraId="2E39441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b/>
          <w:color w:val="auto"/>
          <w:position w:val="-4"/>
          <w:sz w:val="24"/>
          <w:szCs w:val="24"/>
          <w:highlight w:val="none"/>
        </w:rPr>
        <w:t>致：</w:t>
      </w:r>
      <w:r>
        <w:rPr>
          <w:rFonts w:hint="eastAsia" w:ascii="仿宋" w:hAnsi="仿宋" w:eastAsia="仿宋" w:cs="仿宋"/>
          <w:b/>
          <w:color w:val="auto"/>
          <w:spacing w:val="-11"/>
          <w:position w:val="-4"/>
          <w:sz w:val="24"/>
          <w:szCs w:val="24"/>
          <w:highlight w:val="none"/>
          <w:lang w:val="en-US" w:eastAsia="zh-CN"/>
        </w:rPr>
        <w:t>赣州旅投景区管理集团有限公司</w:t>
      </w:r>
    </w:p>
    <w:p w14:paraId="4A6B73D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eastAsia="zh-CN"/>
        </w:rPr>
        <w:t>1.</w:t>
      </w:r>
      <w:r>
        <w:rPr>
          <w:rFonts w:hint="eastAsia" w:ascii="仿宋" w:hAnsi="仿宋" w:eastAsia="仿宋" w:cs="仿宋"/>
          <w:color w:val="auto"/>
          <w:sz w:val="24"/>
          <w:szCs w:val="24"/>
          <w:highlight w:val="none"/>
          <w:u w:val="none"/>
        </w:rPr>
        <w:t>我单位已仔细研究贵公司的《</w:t>
      </w:r>
      <w:r>
        <w:rPr>
          <w:rFonts w:hint="eastAsia" w:ascii="仿宋" w:hAnsi="仿宋" w:eastAsia="仿宋" w:cs="仿宋"/>
          <w:color w:val="auto"/>
          <w:sz w:val="24"/>
          <w:szCs w:val="24"/>
          <w:highlight w:val="none"/>
          <w:lang w:eastAsia="zh-CN"/>
        </w:rPr>
        <w:t>赣州旅投景区管理集团有限公司家禽类产品2026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年度框架协议供应商入围征集项目</w:t>
      </w:r>
      <w:r>
        <w:rPr>
          <w:rFonts w:hint="eastAsia" w:ascii="仿宋" w:hAnsi="仿宋" w:eastAsia="仿宋" w:cs="仿宋"/>
          <w:color w:val="auto"/>
          <w:sz w:val="24"/>
          <w:szCs w:val="24"/>
          <w:highlight w:val="none"/>
          <w:u w:val="none"/>
        </w:rPr>
        <w:t>》的全部内容，经过认真核算</w:t>
      </w:r>
      <w:r>
        <w:rPr>
          <w:rFonts w:hint="eastAsia" w:ascii="仿宋" w:hAnsi="仿宋" w:eastAsia="仿宋" w:cs="仿宋"/>
          <w:color w:val="auto"/>
          <w:sz w:val="24"/>
          <w:szCs w:val="24"/>
          <w:highlight w:val="none"/>
          <w:u w:val="none"/>
          <w:lang w:eastAsia="zh-CN"/>
        </w:rPr>
        <w:t>征集文件附件3：参考价（家禽类）</w:t>
      </w:r>
      <w:r>
        <w:rPr>
          <w:rFonts w:hint="eastAsia" w:ascii="仿宋" w:hAnsi="仿宋" w:eastAsia="仿宋" w:cs="仿宋"/>
          <w:color w:val="auto"/>
          <w:sz w:val="24"/>
          <w:szCs w:val="24"/>
          <w:highlight w:val="none"/>
          <w:u w:val="none"/>
        </w:rPr>
        <w:t>市场参考价</w:t>
      </w:r>
      <w:r>
        <w:rPr>
          <w:rFonts w:hint="eastAsia" w:ascii="仿宋" w:hAnsi="仿宋" w:eastAsia="仿宋" w:cs="仿宋"/>
          <w:color w:val="auto"/>
          <w:sz w:val="24"/>
          <w:szCs w:val="24"/>
          <w:highlight w:val="none"/>
          <w:u w:val="none"/>
          <w:lang w:eastAsia="zh-CN"/>
        </w:rPr>
        <w:t>，并</w:t>
      </w:r>
      <w:r>
        <w:rPr>
          <w:rFonts w:hint="eastAsia" w:ascii="仿宋" w:hAnsi="仿宋" w:eastAsia="仿宋" w:cs="仿宋"/>
          <w:color w:val="auto"/>
          <w:sz w:val="24"/>
          <w:szCs w:val="24"/>
          <w:highlight w:val="none"/>
          <w:u w:val="none"/>
        </w:rPr>
        <w:t>参照自身同一时期供应成本基准价格合理测算后，愿意接受</w:t>
      </w:r>
      <w:r>
        <w:rPr>
          <w:rFonts w:hint="eastAsia" w:ascii="仿宋" w:hAnsi="仿宋" w:eastAsia="仿宋" w:cs="仿宋"/>
          <w:color w:val="auto"/>
          <w:sz w:val="24"/>
          <w:szCs w:val="24"/>
          <w:highlight w:val="none"/>
          <w:u w:val="none"/>
          <w:lang w:val="en-US" w:eastAsia="zh-CN"/>
        </w:rPr>
        <w:t>征集</w:t>
      </w:r>
      <w:r>
        <w:rPr>
          <w:rFonts w:hint="eastAsia" w:ascii="仿宋" w:hAnsi="仿宋" w:eastAsia="仿宋" w:cs="仿宋"/>
          <w:color w:val="auto"/>
          <w:sz w:val="24"/>
          <w:szCs w:val="24"/>
          <w:highlight w:val="none"/>
          <w:u w:val="none"/>
        </w:rPr>
        <w:t>文件所列的全部条件，认同</w:t>
      </w:r>
      <w:r>
        <w:rPr>
          <w:rFonts w:hint="eastAsia" w:ascii="仿宋" w:hAnsi="仿宋" w:eastAsia="仿宋" w:cs="仿宋"/>
          <w:color w:val="auto"/>
          <w:sz w:val="24"/>
          <w:szCs w:val="24"/>
          <w:highlight w:val="none"/>
          <w:u w:val="none"/>
          <w:lang w:val="en-US" w:eastAsia="zh-CN"/>
        </w:rPr>
        <w:t>征集</w:t>
      </w:r>
      <w:r>
        <w:rPr>
          <w:rFonts w:hint="eastAsia" w:ascii="仿宋" w:hAnsi="仿宋" w:eastAsia="仿宋" w:cs="仿宋"/>
          <w:color w:val="auto"/>
          <w:sz w:val="24"/>
          <w:szCs w:val="24"/>
          <w:highlight w:val="none"/>
          <w:u w:val="none"/>
        </w:rPr>
        <w:t>文件的所有内容，愿意以</w:t>
      </w:r>
      <w:r>
        <w:rPr>
          <w:rFonts w:hint="eastAsia" w:ascii="仿宋" w:hAnsi="仿宋" w:eastAsia="仿宋" w:cs="仿宋"/>
          <w:color w:val="auto"/>
          <w:sz w:val="24"/>
          <w:szCs w:val="24"/>
          <w:highlight w:val="none"/>
          <w:u w:val="none"/>
          <w:lang w:eastAsia="zh-CN"/>
        </w:rPr>
        <w:t>：</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下浮率响应，发票类型为：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及税率为：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。按要求完成该项目全部工作，如我单位成交，承诺履行征集文件规定的义务和责任。</w:t>
      </w:r>
    </w:p>
    <w:p w14:paraId="0F1A49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2.在合同协议书正式签署生效之前，本报价函连同你方的</w:t>
      </w:r>
      <w:r>
        <w:rPr>
          <w:rFonts w:hint="eastAsia" w:ascii="仿宋" w:hAnsi="仿宋" w:eastAsia="仿宋" w:cs="仿宋"/>
          <w:color w:val="auto"/>
          <w:sz w:val="24"/>
          <w:szCs w:val="24"/>
          <w:highlight w:val="none"/>
          <w:u w:val="none"/>
          <w:lang w:val="en-US" w:eastAsia="zh-CN"/>
        </w:rPr>
        <w:tab/>
      </w:r>
      <w:r>
        <w:rPr>
          <w:rFonts w:hint="eastAsia" w:ascii="仿宋" w:hAnsi="仿宋" w:eastAsia="仿宋" w:cs="仿宋"/>
          <w:color w:val="auto"/>
          <w:sz w:val="24"/>
          <w:szCs w:val="24"/>
          <w:highlight w:val="none"/>
          <w:u w:val="none"/>
          <w:lang w:val="en-US" w:eastAsia="zh-CN"/>
        </w:rPr>
        <w:t>公示文件将构成我们双方之间共同遵守的文件，对双方具有约束力。</w:t>
      </w:r>
    </w:p>
    <w:p w14:paraId="4409BC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3.计算说明</w:t>
      </w:r>
      <w:r>
        <w:rPr>
          <w:rFonts w:hint="eastAsia" w:ascii="仿宋" w:hAnsi="仿宋" w:eastAsia="仿宋" w:cs="仿宋"/>
          <w:b/>
          <w:bCs/>
          <w:color w:val="auto"/>
          <w:sz w:val="24"/>
          <w:szCs w:val="24"/>
          <w:highlight w:val="none"/>
          <w:u w:val="none"/>
          <w:lang w:val="en-US" w:eastAsia="zh-CN"/>
        </w:rPr>
        <w:t>（请响应单位自行填写）</w:t>
      </w:r>
    </w:p>
    <w:p w14:paraId="39DA4FE6">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lang w:val="en-US" w:eastAsia="zh-CN"/>
        </w:rPr>
        <w:t>例如：</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产品</w:t>
      </w:r>
      <w:r>
        <w:rPr>
          <w:rFonts w:hint="eastAsia" w:ascii="仿宋" w:hAnsi="仿宋" w:eastAsia="仿宋" w:cs="仿宋"/>
          <w:color w:val="auto"/>
          <w:sz w:val="24"/>
          <w:szCs w:val="24"/>
          <w:highlight w:val="none"/>
          <w:u w:val="none"/>
          <w:lang w:val="en-US" w:eastAsia="zh-CN"/>
        </w:rPr>
        <w:t>2026年7月农贸市场批发价为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元/斤</w:t>
      </w:r>
      <w:r>
        <w:rPr>
          <w:rFonts w:hint="eastAsia" w:ascii="仿宋" w:hAnsi="仿宋" w:eastAsia="仿宋" w:cs="仿宋"/>
          <w:color w:val="auto"/>
          <w:sz w:val="24"/>
          <w:szCs w:val="24"/>
          <w:highlight w:val="none"/>
          <w:u w:val="none"/>
          <w:lang w:val="en-US" w:eastAsia="zh-CN"/>
        </w:rPr>
        <w:t>，固定下浮率为3%，我方报价下浮率为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，则2026年7月结算价格为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 xml:space="preserve">×（1-3%）×（1- </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b/>
          <w:bCs/>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元/斤</w:t>
      </w:r>
      <w:r>
        <w:rPr>
          <w:rFonts w:hint="eastAsia" w:ascii="仿宋" w:hAnsi="仿宋" w:eastAsia="仿宋" w:cs="仿宋"/>
          <w:color w:val="auto"/>
          <w:sz w:val="24"/>
          <w:szCs w:val="24"/>
          <w:highlight w:val="none"/>
          <w:u w:val="none"/>
          <w:lang w:val="en-US" w:eastAsia="zh-CN"/>
        </w:rPr>
        <w:t>，2026-2027年度供应期间市场价以农贸市场批发价调查结果进行调整，固定下浮率3%以及我方报价下浮率</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不再调整。</w:t>
      </w:r>
    </w:p>
    <w:p w14:paraId="413B9C13">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500" w:lineRule="exact"/>
        <w:ind w:left="3640" w:leftChars="1400" w:right="61" w:hanging="280" w:hangingChars="117"/>
        <w:textAlignment w:val="auto"/>
        <w:rPr>
          <w:rFonts w:hint="eastAsia" w:ascii="仿宋" w:hAnsi="仿宋" w:eastAsia="仿宋" w:cs="仿宋"/>
          <w:color w:val="auto"/>
          <w:sz w:val="24"/>
          <w:szCs w:val="24"/>
          <w:highlight w:val="none"/>
        </w:rPr>
      </w:pPr>
    </w:p>
    <w:p w14:paraId="2F14D23F">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500" w:lineRule="exact"/>
        <w:ind w:left="3640" w:leftChars="1400" w:right="61"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38B0631">
      <w:pPr>
        <w:keepNext w:val="0"/>
        <w:keepLines w:val="0"/>
        <w:pageBreakBefore w:val="0"/>
        <w:widowControl w:val="0"/>
        <w:tabs>
          <w:tab w:val="left" w:pos="7455"/>
          <w:tab w:val="left" w:pos="8080"/>
          <w:tab w:val="left" w:pos="8800"/>
        </w:tabs>
        <w:kinsoku/>
        <w:wordWrap/>
        <w:overflowPunct/>
        <w:topLinePunct w:val="0"/>
        <w:autoSpaceDE w:val="0"/>
        <w:autoSpaceDN w:val="0"/>
        <w:bidi w:val="0"/>
        <w:adjustRightInd w:val="0"/>
        <w:snapToGrid/>
        <w:spacing w:line="500" w:lineRule="exact"/>
        <w:ind w:left="3640" w:leftChars="1400" w:right="61"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签名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0F0B55E9">
      <w:pPr>
        <w:keepNext w:val="0"/>
        <w:keepLines w:val="0"/>
        <w:pageBreakBefore w:val="0"/>
        <w:widowControl w:val="0"/>
        <w:kinsoku/>
        <w:wordWrap/>
        <w:overflowPunct/>
        <w:topLinePunct w:val="0"/>
        <w:bidi w:val="0"/>
        <w:snapToGrid/>
        <w:spacing w:line="500" w:lineRule="exact"/>
        <w:ind w:left="3640" w:leftChars="1400"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报价时间：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09AC679E">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2C3CDED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注：1</w:t>
      </w:r>
      <w:r>
        <w:rPr>
          <w:rFonts w:hint="eastAsia" w:ascii="仿宋" w:hAnsi="仿宋" w:eastAsia="仿宋" w:cs="仿宋"/>
          <w:b w:val="0"/>
          <w:bCs w:val="0"/>
          <w:color w:val="auto"/>
          <w:sz w:val="24"/>
          <w:szCs w:val="24"/>
          <w:highlight w:val="none"/>
          <w:lang w:val="en-US" w:eastAsia="zh-CN"/>
        </w:rPr>
        <w:t>.总价</w:t>
      </w:r>
      <w:r>
        <w:rPr>
          <w:rFonts w:hint="eastAsia" w:ascii="仿宋" w:hAnsi="仿宋" w:eastAsia="仿宋" w:cs="仿宋"/>
          <w:b w:val="0"/>
          <w:bCs w:val="0"/>
          <w:color w:val="auto"/>
          <w:sz w:val="24"/>
          <w:szCs w:val="24"/>
          <w:highlight w:val="none"/>
        </w:rPr>
        <w:t>包含运费、税金、利润等为完成本项目所有内容的</w:t>
      </w:r>
      <w:r>
        <w:rPr>
          <w:rFonts w:hint="eastAsia" w:ascii="仿宋" w:hAnsi="仿宋" w:eastAsia="仿宋" w:cs="仿宋"/>
          <w:b w:val="0"/>
          <w:bCs w:val="0"/>
          <w:color w:val="auto"/>
          <w:sz w:val="24"/>
          <w:szCs w:val="24"/>
          <w:highlight w:val="none"/>
          <w:lang w:val="en-US" w:eastAsia="zh-CN"/>
        </w:rPr>
        <w:t>一切费用</w:t>
      </w:r>
      <w:r>
        <w:rPr>
          <w:rFonts w:hint="eastAsia" w:ascii="仿宋" w:hAnsi="仿宋" w:eastAsia="仿宋" w:cs="仿宋"/>
          <w:b w:val="0"/>
          <w:bCs w:val="0"/>
          <w:color w:val="auto"/>
          <w:sz w:val="24"/>
          <w:szCs w:val="24"/>
          <w:highlight w:val="none"/>
        </w:rPr>
        <w:t>。</w:t>
      </w:r>
    </w:p>
    <w:p w14:paraId="45112FE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Fonts w:hint="eastAsia" w:ascii="仿宋" w:hAnsi="仿宋" w:eastAsia="仿宋" w:cs="仿宋"/>
          <w:b w:val="0"/>
          <w:bCs w:val="0"/>
          <w:color w:val="auto"/>
          <w:sz w:val="24"/>
          <w:szCs w:val="24"/>
          <w:highlight w:val="none"/>
          <w:lang w:val="en-US" w:eastAsia="zh-CN"/>
        </w:rPr>
        <w:t>本次采购为赣州旅投景区管理集团有限公司经营性采购，若中标单位为小规模纳税人，则在不含税采购价基础上，付款时扣除因进项不足导致招标人的税负损失，请各小规模纳税人综合考虑后进行响应下浮报价。</w:t>
      </w:r>
    </w:p>
    <w:p w14:paraId="38E0FC4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3.</w:t>
      </w:r>
      <w:r>
        <w:rPr>
          <w:rFonts w:hint="eastAsia" w:ascii="仿宋" w:hAnsi="仿宋" w:eastAsia="仿宋" w:cs="仿宋"/>
          <w:b w:val="0"/>
          <w:bCs w:val="0"/>
          <w:color w:val="auto"/>
          <w:sz w:val="24"/>
          <w:szCs w:val="24"/>
          <w:highlight w:val="none"/>
          <w:lang w:val="en-US" w:eastAsia="zh-CN"/>
        </w:rPr>
        <w:t>在免征增值税政策范围内的产品，可按税收规定开具相应免税发票，不进行税金差额扣款。流通环节征税的农产品，小规模纳税人可提供3%征收率的专用发票，不进行税金差额扣款。</w:t>
      </w:r>
    </w:p>
    <w:p w14:paraId="08FEBF25">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50" w:name="_Toc19839"/>
      <w:bookmarkStart w:id="51" w:name="_Toc30181"/>
      <w:bookmarkStart w:id="52" w:name="_Toc13618_WPSOffice_Level1"/>
      <w:bookmarkStart w:id="53" w:name="_Toc18850"/>
      <w:r>
        <w:rPr>
          <w:rFonts w:hint="eastAsia" w:ascii="仿宋" w:hAnsi="仿宋" w:eastAsia="仿宋" w:cs="仿宋"/>
          <w:b/>
          <w:bCs/>
          <w:color w:val="auto"/>
          <w:sz w:val="32"/>
          <w:szCs w:val="32"/>
          <w:highlight w:val="none"/>
        </w:rPr>
        <w:t>资格审查资料</w:t>
      </w:r>
      <w:bookmarkEnd w:id="50"/>
      <w:bookmarkEnd w:id="51"/>
      <w:bookmarkEnd w:id="52"/>
      <w:bookmarkEnd w:id="53"/>
    </w:p>
    <w:p w14:paraId="4CCBBEC3">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54" w:name="_Toc27781_WPSOffice_Level2"/>
      <w:bookmarkStart w:id="55" w:name="_Toc25471_WPSOffice_Level2"/>
      <w:bookmarkStart w:id="56" w:name="_Toc12555"/>
      <w:bookmarkStart w:id="57" w:name="_Toc30669_WPSOffice_Level2"/>
      <w:bookmarkStart w:id="58" w:name="_Toc7743_WPSOffice_Level2"/>
      <w:bookmarkStart w:id="59" w:name="_Toc10540"/>
      <w:bookmarkStart w:id="60" w:name="_Toc29052_WPSOffice_Level3"/>
      <w:bookmarkStart w:id="61" w:name="_Toc23167"/>
      <w:bookmarkStart w:id="62" w:name="_Toc11766"/>
      <w:bookmarkStart w:id="63" w:name="_Toc3188"/>
      <w:r>
        <w:rPr>
          <w:rFonts w:hint="eastAsia" w:ascii="仿宋" w:hAnsi="仿宋" w:eastAsia="仿宋" w:cs="仿宋"/>
          <w:b/>
          <w:bCs/>
          <w:color w:val="auto"/>
          <w:sz w:val="32"/>
          <w:szCs w:val="32"/>
          <w:highlight w:val="none"/>
        </w:rPr>
        <w:t>（一）公司基本情况一览表</w:t>
      </w:r>
      <w:bookmarkEnd w:id="54"/>
      <w:bookmarkEnd w:id="55"/>
      <w:bookmarkEnd w:id="56"/>
      <w:bookmarkEnd w:id="57"/>
      <w:bookmarkEnd w:id="58"/>
      <w:bookmarkEnd w:id="59"/>
      <w:bookmarkEnd w:id="60"/>
      <w:bookmarkEnd w:id="61"/>
      <w:bookmarkEnd w:id="62"/>
      <w:bookmarkEnd w:id="63"/>
    </w:p>
    <w:tbl>
      <w:tblPr>
        <w:tblStyle w:val="24"/>
        <w:tblW w:w="4963"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969"/>
        <w:gridCol w:w="1846"/>
        <w:gridCol w:w="2251"/>
        <w:gridCol w:w="2165"/>
      </w:tblGrid>
      <w:tr w14:paraId="1D45A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6656E7F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企业名称</w:t>
            </w:r>
          </w:p>
        </w:tc>
        <w:tc>
          <w:tcPr>
            <w:tcW w:w="1121" w:type="pct"/>
            <w:tcBorders>
              <w:top w:val="single" w:color="auto" w:sz="6" w:space="0"/>
              <w:left w:val="single" w:color="auto" w:sz="6" w:space="0"/>
              <w:bottom w:val="single" w:color="auto" w:sz="6" w:space="0"/>
              <w:right w:val="single" w:color="auto" w:sz="6" w:space="0"/>
            </w:tcBorders>
            <w:vAlign w:val="center"/>
          </w:tcPr>
          <w:p w14:paraId="6AFF28B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4C05C4F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成立日期</w:t>
            </w:r>
          </w:p>
        </w:tc>
        <w:tc>
          <w:tcPr>
            <w:tcW w:w="1313" w:type="pct"/>
            <w:tcBorders>
              <w:top w:val="single" w:color="auto" w:sz="6" w:space="0"/>
              <w:left w:val="single" w:color="auto" w:sz="6" w:space="0"/>
              <w:bottom w:val="single" w:color="auto" w:sz="6" w:space="0"/>
              <w:right w:val="single" w:color="auto" w:sz="6" w:space="0"/>
            </w:tcBorders>
            <w:vAlign w:val="center"/>
          </w:tcPr>
          <w:p w14:paraId="56DEF30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CB1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52F3462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注册资本</w:t>
            </w:r>
          </w:p>
        </w:tc>
        <w:tc>
          <w:tcPr>
            <w:tcW w:w="1121" w:type="pct"/>
            <w:tcBorders>
              <w:top w:val="single" w:color="auto" w:sz="6" w:space="0"/>
              <w:left w:val="single" w:color="auto" w:sz="6" w:space="0"/>
              <w:bottom w:val="single" w:color="auto" w:sz="6" w:space="0"/>
              <w:right w:val="single" w:color="auto" w:sz="6" w:space="0"/>
            </w:tcBorders>
            <w:vAlign w:val="center"/>
          </w:tcPr>
          <w:p w14:paraId="3642516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144D357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企业类型</w:t>
            </w:r>
          </w:p>
        </w:tc>
        <w:tc>
          <w:tcPr>
            <w:tcW w:w="1313" w:type="pct"/>
            <w:tcBorders>
              <w:top w:val="single" w:color="auto" w:sz="6" w:space="0"/>
              <w:left w:val="single" w:color="auto" w:sz="6" w:space="0"/>
              <w:bottom w:val="single" w:color="auto" w:sz="6" w:space="0"/>
              <w:right w:val="single" w:color="auto" w:sz="6" w:space="0"/>
            </w:tcBorders>
            <w:vAlign w:val="center"/>
          </w:tcPr>
          <w:p w14:paraId="08B7F77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457C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196" w:type="pct"/>
            <w:tcBorders>
              <w:top w:val="single" w:color="auto" w:sz="6" w:space="0"/>
              <w:left w:val="single" w:color="auto" w:sz="6" w:space="0"/>
              <w:bottom w:val="single" w:color="auto" w:sz="6" w:space="0"/>
              <w:right w:val="single" w:color="auto" w:sz="6" w:space="0"/>
            </w:tcBorders>
            <w:vAlign w:val="center"/>
          </w:tcPr>
          <w:p w14:paraId="29DB126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批准登记机关</w:t>
            </w:r>
          </w:p>
        </w:tc>
        <w:tc>
          <w:tcPr>
            <w:tcW w:w="1121" w:type="pct"/>
            <w:tcBorders>
              <w:top w:val="single" w:color="auto" w:sz="6" w:space="0"/>
              <w:left w:val="single" w:color="auto" w:sz="6" w:space="0"/>
              <w:bottom w:val="single" w:color="auto" w:sz="6" w:space="0"/>
              <w:right w:val="single" w:color="auto" w:sz="6" w:space="0"/>
            </w:tcBorders>
            <w:vAlign w:val="center"/>
          </w:tcPr>
          <w:p w14:paraId="3CB6D1F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5605B5F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val="en-US" w:eastAsia="zh-CN"/>
              </w:rPr>
              <w:t>统一社会信用代码</w:t>
            </w:r>
          </w:p>
        </w:tc>
        <w:tc>
          <w:tcPr>
            <w:tcW w:w="1313" w:type="pct"/>
            <w:tcBorders>
              <w:top w:val="single" w:color="auto" w:sz="6" w:space="0"/>
              <w:left w:val="single" w:color="auto" w:sz="6" w:space="0"/>
              <w:bottom w:val="single" w:color="auto" w:sz="6" w:space="0"/>
              <w:right w:val="single" w:color="auto" w:sz="6" w:space="0"/>
            </w:tcBorders>
            <w:vAlign w:val="center"/>
          </w:tcPr>
          <w:p w14:paraId="6DDFB6C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EB6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75E9861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法定代表人</w:t>
            </w:r>
          </w:p>
        </w:tc>
        <w:tc>
          <w:tcPr>
            <w:tcW w:w="1121" w:type="pct"/>
            <w:tcBorders>
              <w:top w:val="single" w:color="auto" w:sz="6" w:space="0"/>
              <w:left w:val="single" w:color="auto" w:sz="6" w:space="0"/>
              <w:bottom w:val="single" w:color="auto" w:sz="6" w:space="0"/>
              <w:right w:val="single" w:color="auto" w:sz="6" w:space="0"/>
            </w:tcBorders>
            <w:vAlign w:val="center"/>
          </w:tcPr>
          <w:p w14:paraId="76B3D54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026D563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营业期限</w:t>
            </w:r>
          </w:p>
        </w:tc>
        <w:tc>
          <w:tcPr>
            <w:tcW w:w="1313" w:type="pct"/>
            <w:tcBorders>
              <w:top w:val="single" w:color="auto" w:sz="6" w:space="0"/>
              <w:left w:val="single" w:color="auto" w:sz="6" w:space="0"/>
              <w:bottom w:val="single" w:color="auto" w:sz="6" w:space="0"/>
              <w:right w:val="single" w:color="auto" w:sz="6" w:space="0"/>
            </w:tcBorders>
            <w:vAlign w:val="center"/>
          </w:tcPr>
          <w:p w14:paraId="6649AD9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4639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0F426A0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资质类型</w:t>
            </w:r>
          </w:p>
        </w:tc>
        <w:tc>
          <w:tcPr>
            <w:tcW w:w="1121" w:type="pct"/>
            <w:tcBorders>
              <w:top w:val="single" w:color="auto" w:sz="6" w:space="0"/>
              <w:left w:val="single" w:color="auto" w:sz="6" w:space="0"/>
              <w:bottom w:val="single" w:color="auto" w:sz="6" w:space="0"/>
              <w:right w:val="single" w:color="auto" w:sz="6" w:space="0"/>
            </w:tcBorders>
            <w:vAlign w:val="center"/>
          </w:tcPr>
          <w:p w14:paraId="3E87F21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3009543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资质等级</w:t>
            </w:r>
          </w:p>
        </w:tc>
        <w:tc>
          <w:tcPr>
            <w:tcW w:w="1313" w:type="pct"/>
            <w:tcBorders>
              <w:top w:val="single" w:color="auto" w:sz="6" w:space="0"/>
              <w:left w:val="single" w:color="auto" w:sz="6" w:space="0"/>
              <w:bottom w:val="single" w:color="auto" w:sz="6" w:space="0"/>
              <w:right w:val="single" w:color="auto" w:sz="6" w:space="0"/>
            </w:tcBorders>
            <w:vAlign w:val="center"/>
          </w:tcPr>
          <w:p w14:paraId="286F45E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DFA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1" w:hRule="atLeast"/>
        </w:trPr>
        <w:tc>
          <w:tcPr>
            <w:tcW w:w="1196" w:type="pct"/>
            <w:tcBorders>
              <w:top w:val="single" w:color="auto" w:sz="6" w:space="0"/>
              <w:left w:val="single" w:color="auto" w:sz="6" w:space="0"/>
              <w:bottom w:val="single" w:color="auto" w:sz="6" w:space="0"/>
              <w:right w:val="single" w:color="auto" w:sz="6" w:space="0"/>
            </w:tcBorders>
            <w:vAlign w:val="center"/>
          </w:tcPr>
          <w:p w14:paraId="62DD568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主营业务</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47B563A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5886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5CB17AD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地址</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113A004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AFC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0B33F44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开户银行</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555CDAC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70AFD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5D9403A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开户行号</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737BDEC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67D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7A8AE27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银行账号</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5F8CC7F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3D8F3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96" w:type="pct"/>
            <w:tcBorders>
              <w:top w:val="single" w:color="auto" w:sz="6" w:space="0"/>
              <w:left w:val="single" w:color="auto" w:sz="6" w:space="0"/>
              <w:bottom w:val="single" w:color="auto" w:sz="6" w:space="0"/>
              <w:right w:val="single" w:color="auto" w:sz="6" w:space="0"/>
            </w:tcBorders>
            <w:vAlign w:val="center"/>
          </w:tcPr>
          <w:p w14:paraId="43228DE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电话</w:t>
            </w:r>
          </w:p>
        </w:tc>
        <w:tc>
          <w:tcPr>
            <w:tcW w:w="1121" w:type="pct"/>
            <w:tcBorders>
              <w:top w:val="single" w:color="auto" w:sz="6" w:space="0"/>
              <w:left w:val="single" w:color="auto" w:sz="6" w:space="0"/>
              <w:bottom w:val="single" w:color="auto" w:sz="6" w:space="0"/>
              <w:right w:val="single" w:color="auto" w:sz="6" w:space="0"/>
            </w:tcBorders>
            <w:vAlign w:val="center"/>
          </w:tcPr>
          <w:p w14:paraId="2960EFA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0E0EF4E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传真</w:t>
            </w:r>
          </w:p>
        </w:tc>
        <w:tc>
          <w:tcPr>
            <w:tcW w:w="1313" w:type="pct"/>
            <w:tcBorders>
              <w:top w:val="single" w:color="auto" w:sz="6" w:space="0"/>
              <w:left w:val="single" w:color="auto" w:sz="6" w:space="0"/>
              <w:bottom w:val="single" w:color="auto" w:sz="6" w:space="0"/>
              <w:right w:val="single" w:color="auto" w:sz="6" w:space="0"/>
            </w:tcBorders>
            <w:vAlign w:val="center"/>
          </w:tcPr>
          <w:p w14:paraId="338F883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3A252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96" w:type="pct"/>
            <w:tcBorders>
              <w:top w:val="single" w:color="auto" w:sz="6" w:space="0"/>
              <w:left w:val="single" w:color="auto" w:sz="6" w:space="0"/>
              <w:bottom w:val="single" w:color="auto" w:sz="6" w:space="0"/>
              <w:right w:val="single" w:color="auto" w:sz="6" w:space="0"/>
            </w:tcBorders>
            <w:vAlign w:val="center"/>
          </w:tcPr>
          <w:p w14:paraId="02AD820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邮箱</w:t>
            </w:r>
          </w:p>
        </w:tc>
        <w:tc>
          <w:tcPr>
            <w:tcW w:w="1121" w:type="pct"/>
            <w:tcBorders>
              <w:top w:val="single" w:color="auto" w:sz="6" w:space="0"/>
              <w:left w:val="single" w:color="auto" w:sz="6" w:space="0"/>
              <w:bottom w:val="single" w:color="auto" w:sz="6" w:space="0"/>
              <w:right w:val="single" w:color="auto" w:sz="6" w:space="0"/>
            </w:tcBorders>
            <w:vAlign w:val="center"/>
          </w:tcPr>
          <w:p w14:paraId="3655282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12C8759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邮编</w:t>
            </w:r>
          </w:p>
        </w:tc>
        <w:tc>
          <w:tcPr>
            <w:tcW w:w="1313" w:type="pct"/>
            <w:tcBorders>
              <w:top w:val="single" w:color="auto" w:sz="6" w:space="0"/>
              <w:left w:val="single" w:color="auto" w:sz="6" w:space="0"/>
              <w:bottom w:val="single" w:color="auto" w:sz="6" w:space="0"/>
              <w:right w:val="single" w:color="auto" w:sz="6" w:space="0"/>
            </w:tcBorders>
            <w:vAlign w:val="center"/>
          </w:tcPr>
          <w:p w14:paraId="71A46DF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CB6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5" w:hRule="atLeast"/>
        </w:trPr>
        <w:tc>
          <w:tcPr>
            <w:tcW w:w="1196" w:type="pct"/>
            <w:tcBorders>
              <w:top w:val="single" w:color="auto" w:sz="6" w:space="0"/>
              <w:left w:val="single" w:color="auto" w:sz="6" w:space="0"/>
              <w:bottom w:val="single" w:color="auto" w:sz="6" w:space="0"/>
              <w:right w:val="single" w:color="auto" w:sz="6" w:space="0"/>
            </w:tcBorders>
            <w:vAlign w:val="center"/>
          </w:tcPr>
          <w:p w14:paraId="0B7B01B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联系人</w:t>
            </w:r>
          </w:p>
        </w:tc>
        <w:tc>
          <w:tcPr>
            <w:tcW w:w="1121" w:type="pct"/>
            <w:tcBorders>
              <w:top w:val="single" w:color="auto" w:sz="6" w:space="0"/>
              <w:left w:val="single" w:color="auto" w:sz="6" w:space="0"/>
              <w:bottom w:val="single" w:color="auto" w:sz="6" w:space="0"/>
              <w:right w:val="single" w:color="auto" w:sz="6" w:space="0"/>
            </w:tcBorders>
            <w:vAlign w:val="center"/>
          </w:tcPr>
          <w:p w14:paraId="13D57AE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60D4D68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联系方式</w:t>
            </w:r>
          </w:p>
        </w:tc>
        <w:tc>
          <w:tcPr>
            <w:tcW w:w="1313" w:type="pct"/>
            <w:tcBorders>
              <w:top w:val="single" w:color="auto" w:sz="6" w:space="0"/>
              <w:left w:val="single" w:color="auto" w:sz="6" w:space="0"/>
              <w:bottom w:val="single" w:color="auto" w:sz="6" w:space="0"/>
              <w:right w:val="single" w:color="auto" w:sz="6" w:space="0"/>
            </w:tcBorders>
            <w:vAlign w:val="center"/>
          </w:tcPr>
          <w:p w14:paraId="37E2E98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bl>
    <w:p w14:paraId="40BD6B47">
      <w:pPr>
        <w:keepNext w:val="0"/>
        <w:keepLines w:val="0"/>
        <w:pageBreakBefore w:val="0"/>
        <w:widowControl w:val="0"/>
        <w:kinsoku/>
        <w:wordWrap/>
        <w:overflowPunct/>
        <w:bidi w:val="0"/>
        <w:spacing w:line="500" w:lineRule="exact"/>
        <w:jc w:val="both"/>
        <w:textAlignment w:val="auto"/>
        <w:outlineLvl w:val="1"/>
        <w:rPr>
          <w:rFonts w:hint="eastAsia" w:ascii="仿宋" w:hAnsi="仿宋" w:eastAsia="仿宋" w:cs="仿宋"/>
          <w:b/>
          <w:bCs/>
          <w:color w:val="auto"/>
          <w:sz w:val="24"/>
          <w:szCs w:val="24"/>
          <w:highlight w:val="none"/>
          <w:u w:val="none"/>
        </w:rPr>
      </w:pPr>
      <w:bookmarkStart w:id="64" w:name="_Toc30597"/>
      <w:bookmarkStart w:id="65" w:name="_Toc4655"/>
      <w:bookmarkStart w:id="66" w:name="_Toc9797_WPSOffice_Level2"/>
      <w:bookmarkStart w:id="67" w:name="_Toc9084_WPSOffice_Level2"/>
      <w:bookmarkStart w:id="68" w:name="_Toc15100_WPSOffice_Level2"/>
      <w:bookmarkStart w:id="69" w:name="_Toc16007_WPSOffice_Level2"/>
      <w:bookmarkStart w:id="70" w:name="_Toc1797"/>
      <w:bookmarkStart w:id="71" w:name="_Toc19438_WPSOffice_Level2"/>
      <w:bookmarkStart w:id="72" w:name="_Toc886_WPSOffice_Level2"/>
      <w:bookmarkStart w:id="73" w:name="_Toc1852"/>
      <w:bookmarkStart w:id="74" w:name="_Toc13231"/>
      <w:bookmarkStart w:id="75" w:name="_Toc26908"/>
    </w:p>
    <w:p w14:paraId="077EAEDC">
      <w:pPr>
        <w:keepNext w:val="0"/>
        <w:keepLines w:val="0"/>
        <w:pageBreakBefore w:val="0"/>
        <w:widowControl w:val="0"/>
        <w:tabs>
          <w:tab w:val="left" w:pos="1470"/>
        </w:tabs>
        <w:kinsoku/>
        <w:wordWrap/>
        <w:overflowPunct/>
        <w:bidi w:val="0"/>
        <w:spacing w:line="500" w:lineRule="exact"/>
        <w:textAlignment w:val="auto"/>
        <w:rPr>
          <w:rFonts w:hint="eastAsia" w:ascii="仿宋" w:hAnsi="仿宋" w:eastAsia="仿宋" w:cs="仿宋"/>
          <w:b/>
          <w:color w:val="auto"/>
          <w:sz w:val="24"/>
          <w:szCs w:val="24"/>
          <w:highlight w:val="none"/>
          <w:u w:val="none"/>
          <w:lang w:val="en-US" w:eastAsia="zh-CN"/>
        </w:rPr>
      </w:pPr>
      <w:r>
        <w:rPr>
          <w:rFonts w:hint="eastAsia" w:ascii="仿宋" w:hAnsi="仿宋" w:eastAsia="仿宋" w:cs="仿宋"/>
          <w:b/>
          <w:color w:val="auto"/>
          <w:sz w:val="24"/>
          <w:szCs w:val="24"/>
          <w:highlight w:val="none"/>
          <w:u w:val="none"/>
        </w:rPr>
        <w:t>附：</w:t>
      </w:r>
      <w:r>
        <w:rPr>
          <w:rFonts w:hint="eastAsia" w:ascii="仿宋" w:hAnsi="仿宋" w:eastAsia="仿宋" w:cs="仿宋"/>
          <w:b/>
          <w:color w:val="auto"/>
          <w:sz w:val="24"/>
          <w:szCs w:val="24"/>
          <w:highlight w:val="none"/>
          <w:u w:val="none"/>
          <w:lang w:val="en-US" w:eastAsia="zh-CN"/>
        </w:rPr>
        <w:t>企业营业执照复印件、资质证明文件（如公司行业资质等）复印件，以上资料需加盖公章。</w:t>
      </w:r>
    </w:p>
    <w:p w14:paraId="104DF74F">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10906DC5">
      <w:pPr>
        <w:keepNext w:val="0"/>
        <w:keepLines w:val="0"/>
        <w:pageBreakBefore w:val="0"/>
        <w:widowControl w:val="0"/>
        <w:kinsoku/>
        <w:wordWrap/>
        <w:overflowPunct/>
        <w:bidi w:val="0"/>
        <w:spacing w:line="500" w:lineRule="exact"/>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14:paraId="025F6CF0">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6" w:name="_Toc32658"/>
      <w:r>
        <w:rPr>
          <w:rFonts w:hint="eastAsia" w:ascii="仿宋" w:hAnsi="仿宋" w:eastAsia="仿宋" w:cs="仿宋"/>
          <w:b/>
          <w:bCs/>
          <w:color w:val="auto"/>
          <w:sz w:val="32"/>
          <w:szCs w:val="32"/>
          <w:highlight w:val="none"/>
        </w:rPr>
        <w:t>（二）企业业绩情况</w:t>
      </w:r>
      <w:bookmarkEnd w:id="64"/>
      <w:bookmarkEnd w:id="65"/>
      <w:bookmarkEnd w:id="66"/>
      <w:bookmarkEnd w:id="67"/>
      <w:bookmarkEnd w:id="68"/>
      <w:bookmarkEnd w:id="69"/>
      <w:bookmarkEnd w:id="70"/>
      <w:bookmarkEnd w:id="71"/>
      <w:bookmarkEnd w:id="72"/>
      <w:bookmarkEnd w:id="73"/>
      <w:bookmarkEnd w:id="74"/>
      <w:bookmarkEnd w:id="75"/>
      <w:bookmarkEnd w:id="76"/>
    </w:p>
    <w:tbl>
      <w:tblPr>
        <w:tblStyle w:val="2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51"/>
        <w:gridCol w:w="1180"/>
        <w:gridCol w:w="1180"/>
        <w:gridCol w:w="2144"/>
        <w:gridCol w:w="2533"/>
      </w:tblGrid>
      <w:tr w14:paraId="0B03D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C02443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F8897B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项目类型</w:t>
            </w:r>
          </w:p>
        </w:tc>
        <w:tc>
          <w:tcPr>
            <w:tcW w:w="0" w:type="auto"/>
            <w:tcBorders>
              <w:top w:val="single" w:color="auto" w:sz="4" w:space="0"/>
              <w:left w:val="single" w:color="auto" w:sz="4" w:space="0"/>
              <w:bottom w:val="single" w:color="auto" w:sz="4" w:space="0"/>
              <w:right w:val="single" w:color="auto" w:sz="4" w:space="0"/>
            </w:tcBorders>
            <w:vAlign w:val="center"/>
          </w:tcPr>
          <w:p w14:paraId="55C5ECD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项目名称</w:t>
            </w:r>
          </w:p>
        </w:tc>
        <w:tc>
          <w:tcPr>
            <w:tcW w:w="0" w:type="auto"/>
            <w:tcBorders>
              <w:top w:val="single" w:color="auto" w:sz="4" w:space="0"/>
              <w:left w:val="single" w:color="auto" w:sz="4" w:space="0"/>
              <w:bottom w:val="single" w:color="auto" w:sz="4" w:space="0"/>
              <w:right w:val="single" w:color="auto" w:sz="4" w:space="0"/>
            </w:tcBorders>
            <w:vAlign w:val="center"/>
          </w:tcPr>
          <w:p w14:paraId="06C68F2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b/>
                <w:color w:val="auto"/>
                <w:sz w:val="24"/>
                <w:szCs w:val="24"/>
                <w:highlight w:val="none"/>
                <w:u w:val="none"/>
              </w:rPr>
              <w:t>项目规模（万元）</w:t>
            </w:r>
          </w:p>
        </w:tc>
        <w:tc>
          <w:tcPr>
            <w:tcW w:w="2533" w:type="dxa"/>
            <w:tcBorders>
              <w:top w:val="single" w:color="auto" w:sz="4" w:space="0"/>
              <w:left w:val="single" w:color="auto" w:sz="4" w:space="0"/>
              <w:bottom w:val="single" w:color="auto" w:sz="4" w:space="0"/>
              <w:right w:val="single" w:color="auto" w:sz="4" w:space="0"/>
            </w:tcBorders>
            <w:vAlign w:val="center"/>
          </w:tcPr>
          <w:p w14:paraId="65A8B00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内容及合同起止时间</w:t>
            </w:r>
          </w:p>
        </w:tc>
      </w:tr>
      <w:tr w14:paraId="78088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6BA490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1</w:t>
            </w:r>
          </w:p>
        </w:tc>
        <w:tc>
          <w:tcPr>
            <w:tcW w:w="0" w:type="auto"/>
            <w:tcBorders>
              <w:top w:val="single" w:color="auto" w:sz="4" w:space="0"/>
              <w:left w:val="single" w:color="auto" w:sz="4" w:space="0"/>
              <w:bottom w:val="single" w:color="auto" w:sz="4" w:space="0"/>
              <w:right w:val="single" w:color="auto" w:sz="4" w:space="0"/>
            </w:tcBorders>
            <w:vAlign w:val="center"/>
          </w:tcPr>
          <w:p w14:paraId="1BEAD0D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EE1993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C55864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1F9BCD4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76E9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1AF7FFB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2847CA1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2886CD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06FE7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7D70508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198D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019B972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3</w:t>
            </w:r>
          </w:p>
        </w:tc>
        <w:tc>
          <w:tcPr>
            <w:tcW w:w="0" w:type="auto"/>
            <w:tcBorders>
              <w:top w:val="single" w:color="auto" w:sz="4" w:space="0"/>
              <w:left w:val="single" w:color="auto" w:sz="4" w:space="0"/>
              <w:bottom w:val="single" w:color="auto" w:sz="4" w:space="0"/>
              <w:right w:val="single" w:color="auto" w:sz="4" w:space="0"/>
            </w:tcBorders>
            <w:vAlign w:val="center"/>
          </w:tcPr>
          <w:p w14:paraId="7A2D963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A613EE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25E089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5A666CB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A68B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3F3F9D0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4</w:t>
            </w:r>
          </w:p>
        </w:tc>
        <w:tc>
          <w:tcPr>
            <w:tcW w:w="0" w:type="auto"/>
            <w:tcBorders>
              <w:top w:val="single" w:color="auto" w:sz="4" w:space="0"/>
              <w:left w:val="single" w:color="auto" w:sz="4" w:space="0"/>
              <w:bottom w:val="single" w:color="auto" w:sz="4" w:space="0"/>
              <w:right w:val="single" w:color="auto" w:sz="4" w:space="0"/>
            </w:tcBorders>
            <w:vAlign w:val="center"/>
          </w:tcPr>
          <w:p w14:paraId="4679FAD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55369B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BB1F25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74E256F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5CD95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D0B2A0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5</w:t>
            </w:r>
          </w:p>
        </w:tc>
        <w:tc>
          <w:tcPr>
            <w:tcW w:w="0" w:type="auto"/>
            <w:tcBorders>
              <w:top w:val="single" w:color="auto" w:sz="4" w:space="0"/>
              <w:left w:val="single" w:color="auto" w:sz="4" w:space="0"/>
              <w:bottom w:val="single" w:color="auto" w:sz="4" w:space="0"/>
              <w:right w:val="single" w:color="auto" w:sz="4" w:space="0"/>
            </w:tcBorders>
            <w:vAlign w:val="center"/>
          </w:tcPr>
          <w:p w14:paraId="763C158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391A5C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2433C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324024A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bl>
    <w:p w14:paraId="54C9C85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u w:val="none"/>
        </w:rPr>
      </w:pPr>
    </w:p>
    <w:p w14:paraId="604172C2">
      <w:pPr>
        <w:keepNext w:val="0"/>
        <w:keepLines w:val="0"/>
        <w:pageBreakBefore w:val="0"/>
        <w:widowControl w:val="0"/>
        <w:kinsoku/>
        <w:wordWrap/>
        <w:overflowPunct/>
        <w:bidi w:val="0"/>
        <w:spacing w:line="500" w:lineRule="exact"/>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rPr>
        <w:t>注：</w:t>
      </w:r>
      <w:r>
        <w:rPr>
          <w:rFonts w:hint="eastAsia" w:ascii="仿宋" w:hAnsi="仿宋" w:eastAsia="仿宋" w:cs="仿宋"/>
          <w:b/>
          <w:bCs/>
          <w:color w:val="auto"/>
          <w:sz w:val="24"/>
          <w:szCs w:val="24"/>
          <w:highlight w:val="none"/>
          <w:u w:val="none"/>
          <w:lang w:eastAsia="zh-CN"/>
        </w:rPr>
        <w:t>供应商</w:t>
      </w:r>
      <w:r>
        <w:rPr>
          <w:rFonts w:hint="eastAsia" w:ascii="仿宋" w:hAnsi="仿宋" w:eastAsia="仿宋" w:cs="仿宋"/>
          <w:b/>
          <w:bCs/>
          <w:color w:val="auto"/>
          <w:sz w:val="24"/>
          <w:szCs w:val="24"/>
          <w:highlight w:val="none"/>
          <w:u w:val="none"/>
          <w:lang w:val="en-US" w:eastAsia="zh-CN"/>
        </w:rPr>
        <w:t>需提供至少一份</w:t>
      </w:r>
      <w:r>
        <w:rPr>
          <w:rFonts w:hint="eastAsia" w:ascii="仿宋" w:hAnsi="仿宋" w:eastAsia="仿宋" w:cs="仿宋"/>
          <w:b/>
          <w:bCs/>
          <w:color w:val="auto"/>
          <w:sz w:val="24"/>
          <w:szCs w:val="24"/>
          <w:highlight w:val="none"/>
          <w:u w:val="none"/>
        </w:rPr>
        <w:t>合同协议复印件</w:t>
      </w:r>
      <w:r>
        <w:rPr>
          <w:rFonts w:hint="eastAsia" w:ascii="仿宋" w:hAnsi="仿宋" w:eastAsia="仿宋" w:cs="仿宋"/>
          <w:b/>
          <w:bCs/>
          <w:color w:val="auto"/>
          <w:sz w:val="24"/>
          <w:szCs w:val="24"/>
          <w:highlight w:val="none"/>
          <w:u w:val="none"/>
          <w:lang w:val="en-US" w:eastAsia="zh-CN"/>
        </w:rPr>
        <w:t>，加盖公章。</w:t>
      </w:r>
    </w:p>
    <w:p w14:paraId="4BCF4E11">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30C8B76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E0F7EF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F68427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05270E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DB7114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138903B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7F595C15">
      <w:pPr>
        <w:keepNext w:val="0"/>
        <w:keepLines w:val="0"/>
        <w:pageBreakBefore w:val="0"/>
        <w:widowControl w:val="0"/>
        <w:kinsoku/>
        <w:wordWrap/>
        <w:overflowPunct/>
        <w:bidi w:val="0"/>
        <w:spacing w:line="500" w:lineRule="exact"/>
        <w:jc w:val="both"/>
        <w:textAlignment w:val="auto"/>
        <w:rPr>
          <w:rFonts w:hint="eastAsia" w:ascii="仿宋" w:hAnsi="仿宋" w:eastAsia="仿宋" w:cs="仿宋"/>
          <w:color w:val="auto"/>
          <w:sz w:val="24"/>
          <w:szCs w:val="24"/>
          <w:highlight w:val="none"/>
        </w:rPr>
      </w:pPr>
    </w:p>
    <w:p w14:paraId="58FEF0FA">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7" w:name="_Toc9056"/>
      <w:r>
        <w:rPr>
          <w:rFonts w:hint="eastAsia" w:ascii="仿宋" w:hAnsi="仿宋" w:eastAsia="仿宋" w:cs="仿宋"/>
          <w:b/>
          <w:bCs/>
          <w:color w:val="auto"/>
          <w:sz w:val="32"/>
          <w:szCs w:val="32"/>
          <w:highlight w:val="none"/>
        </w:rPr>
        <w:t>法定代表人</w:t>
      </w:r>
      <w:r>
        <w:rPr>
          <w:rFonts w:hint="eastAsia" w:ascii="仿宋" w:hAnsi="仿宋" w:eastAsia="仿宋" w:cs="仿宋"/>
          <w:b/>
          <w:bCs/>
          <w:color w:val="auto"/>
          <w:sz w:val="32"/>
          <w:szCs w:val="32"/>
          <w:highlight w:val="none"/>
          <w:lang w:val="en-US" w:eastAsia="zh-CN"/>
        </w:rPr>
        <w:t>身份证复印件</w:t>
      </w:r>
      <w:r>
        <w:rPr>
          <w:rFonts w:hint="eastAsia" w:ascii="仿宋" w:hAnsi="仿宋" w:eastAsia="仿宋" w:cs="仿宋"/>
          <w:b/>
          <w:bCs/>
          <w:color w:val="auto"/>
          <w:sz w:val="32"/>
          <w:szCs w:val="32"/>
          <w:highlight w:val="none"/>
        </w:rPr>
        <w:t>（适用于无委托代理人的情况）</w:t>
      </w:r>
      <w:bookmarkEnd w:id="77"/>
    </w:p>
    <w:p w14:paraId="20319E54">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582DA23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FB0B5A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8743AE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2BB4A6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3F7645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9C8882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99A9D5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7EF66A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69BF76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9E9046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81CB2D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76DDD6F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895B60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0DA2CE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862232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826273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63435A03">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4D85BF7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6311F35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E181AD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B3EEB40">
      <w:pPr>
        <w:keepNext w:val="0"/>
        <w:keepLines w:val="0"/>
        <w:pageBreakBefore w:val="0"/>
        <w:widowControl w:val="0"/>
        <w:kinsoku/>
        <w:wordWrap/>
        <w:overflowPunct/>
        <w:topLinePunct/>
        <w:bidi w:val="0"/>
        <w:spacing w:line="50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注</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需提供</w:t>
      </w:r>
      <w:r>
        <w:rPr>
          <w:rFonts w:hint="eastAsia" w:ascii="仿宋" w:hAnsi="仿宋" w:eastAsia="仿宋" w:cs="仿宋"/>
          <w:b/>
          <w:color w:val="auto"/>
          <w:sz w:val="24"/>
          <w:szCs w:val="24"/>
          <w:highlight w:val="none"/>
        </w:rPr>
        <w:t>法定代表人身份证复印件</w:t>
      </w:r>
      <w:r>
        <w:rPr>
          <w:rFonts w:hint="eastAsia" w:ascii="仿宋" w:hAnsi="仿宋" w:eastAsia="仿宋" w:cs="仿宋"/>
          <w:b/>
          <w:color w:val="auto"/>
          <w:sz w:val="24"/>
          <w:szCs w:val="24"/>
          <w:highlight w:val="none"/>
          <w:lang w:val="en-US" w:eastAsia="zh-CN"/>
        </w:rPr>
        <w:t>正反面，加盖公章</w:t>
      </w:r>
      <w:r>
        <w:rPr>
          <w:rFonts w:hint="eastAsia" w:ascii="仿宋" w:hAnsi="仿宋" w:eastAsia="仿宋" w:cs="仿宋"/>
          <w:b/>
          <w:color w:val="auto"/>
          <w:sz w:val="24"/>
          <w:szCs w:val="24"/>
          <w:highlight w:val="none"/>
        </w:rPr>
        <w:t>。</w:t>
      </w:r>
    </w:p>
    <w:p w14:paraId="4857A70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154DE652">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465B27F9">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8" w:name="_Toc7138"/>
      <w:r>
        <w:rPr>
          <w:rFonts w:hint="eastAsia" w:ascii="仿宋" w:hAnsi="仿宋" w:eastAsia="仿宋" w:cs="仿宋"/>
          <w:b/>
          <w:bCs/>
          <w:color w:val="auto"/>
          <w:sz w:val="32"/>
          <w:szCs w:val="32"/>
          <w:highlight w:val="none"/>
        </w:rPr>
        <w:t>授权委托书（适用于有委托代理人的情况）</w:t>
      </w:r>
      <w:bookmarkEnd w:id="78"/>
    </w:p>
    <w:p w14:paraId="49D75B15">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385986DE">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本人</w:t>
      </w:r>
      <w:r>
        <w:rPr>
          <w:rFonts w:hint="eastAsia" w:ascii="仿宋" w:hAnsi="仿宋" w:eastAsia="仿宋" w:cs="仿宋"/>
          <w:color w:val="auto"/>
          <w:sz w:val="24"/>
          <w:szCs w:val="24"/>
          <w:highlight w:val="none"/>
          <w:u w:val="single"/>
        </w:rPr>
        <w:t xml:space="preserve"> （姓名） </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 xml:space="preserve">名称） </w:t>
      </w:r>
      <w:r>
        <w:rPr>
          <w:rFonts w:hint="eastAsia" w:ascii="仿宋" w:hAnsi="仿宋" w:eastAsia="仿宋" w:cs="仿宋"/>
          <w:color w:val="auto"/>
          <w:sz w:val="24"/>
          <w:szCs w:val="24"/>
          <w:highlight w:val="none"/>
        </w:rPr>
        <w:t>的法定代表人/单位负责人，现委托</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为我方授权代理人。代理人根据授权，以我方名义签署、澄清、确认、递交、撤回、修改</w:t>
      </w:r>
      <w:r>
        <w:rPr>
          <w:rFonts w:hint="eastAsia" w:ascii="仿宋" w:hAnsi="仿宋" w:eastAsia="仿宋" w:cs="仿宋"/>
          <w:color w:val="auto"/>
          <w:sz w:val="24"/>
          <w:szCs w:val="24"/>
          <w:highlight w:val="none"/>
          <w:u w:val="none"/>
          <w:lang w:eastAsia="zh-CN"/>
        </w:rPr>
        <w:t>【赣州旅投景区管理集团有限公司家禽类产品2026</w:t>
      </w:r>
      <w:r>
        <w:rPr>
          <w:rFonts w:hint="eastAsia" w:ascii="仿宋" w:hAnsi="仿宋" w:eastAsia="仿宋" w:cs="仿宋"/>
          <w:color w:val="auto"/>
          <w:sz w:val="24"/>
          <w:szCs w:val="24"/>
          <w:highlight w:val="none"/>
          <w:u w:val="none"/>
          <w:lang w:val="en-US" w:eastAsia="zh-CN"/>
        </w:rPr>
        <w:t>-2027</w:t>
      </w:r>
      <w:r>
        <w:rPr>
          <w:rFonts w:hint="eastAsia" w:ascii="仿宋" w:hAnsi="仿宋" w:eastAsia="仿宋" w:cs="仿宋"/>
          <w:color w:val="auto"/>
          <w:sz w:val="24"/>
          <w:szCs w:val="24"/>
          <w:highlight w:val="none"/>
          <w:u w:val="none"/>
          <w:lang w:eastAsia="zh-CN"/>
        </w:rPr>
        <w:t>年度框架协议供应商入围征集项目】</w:t>
      </w:r>
      <w:r>
        <w:rPr>
          <w:rFonts w:hint="eastAsia" w:ascii="仿宋" w:hAnsi="仿宋" w:eastAsia="仿宋" w:cs="仿宋"/>
          <w:color w:val="auto"/>
          <w:sz w:val="24"/>
          <w:szCs w:val="24"/>
          <w:highlight w:val="none"/>
        </w:rPr>
        <w:t>报价文件、签订合同和处理有关事宜，其法律后果由我方承担。</w:t>
      </w:r>
    </w:p>
    <w:p w14:paraId="4D8891AF">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委托期限：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日至</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1630A34C">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委托代理人无转委托权。</w:t>
      </w:r>
    </w:p>
    <w:p w14:paraId="5C936258">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786F061A">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56B1E370">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4BAD8FDB">
      <w:pPr>
        <w:keepNext w:val="0"/>
        <w:keepLines w:val="0"/>
        <w:pageBreakBefore w:val="0"/>
        <w:widowControl w:val="0"/>
        <w:kinsoku/>
        <w:wordWrap/>
        <w:overflowPunct/>
        <w:bidi w:val="0"/>
        <w:spacing w:after="313" w:afterLines="100" w:line="500" w:lineRule="exact"/>
        <w:ind w:firstLine="3076" w:firstLineChars="1282"/>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（公章）：</w:t>
      </w:r>
      <w:r>
        <w:rPr>
          <w:rFonts w:hint="eastAsia" w:ascii="仿宋" w:hAnsi="仿宋" w:eastAsia="仿宋" w:cs="仿宋"/>
          <w:color w:val="auto"/>
          <w:sz w:val="24"/>
          <w:szCs w:val="24"/>
          <w:highlight w:val="none"/>
          <w:u w:val="single"/>
        </w:rPr>
        <w:t xml:space="preserve">                            </w:t>
      </w:r>
    </w:p>
    <w:p w14:paraId="14001C77">
      <w:pPr>
        <w:keepNext w:val="0"/>
        <w:keepLines w:val="0"/>
        <w:pageBreakBefore w:val="0"/>
        <w:widowControl w:val="0"/>
        <w:kinsoku/>
        <w:wordWrap/>
        <w:overflowPunct/>
        <w:bidi w:val="0"/>
        <w:spacing w:after="313" w:afterLines="100" w:line="500" w:lineRule="exact"/>
        <w:ind w:firstLine="3074" w:firstLineChars="128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60B64E42">
      <w:pPr>
        <w:keepNext w:val="0"/>
        <w:keepLines w:val="0"/>
        <w:pageBreakBefore w:val="0"/>
        <w:widowControl w:val="0"/>
        <w:kinsoku/>
        <w:wordWrap/>
        <w:overflowPunct/>
        <w:bidi w:val="0"/>
        <w:spacing w:after="313" w:afterLines="100" w:line="500" w:lineRule="exact"/>
        <w:ind w:firstLine="3076" w:firstLineChars="1282"/>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授权代理人（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p>
    <w:p w14:paraId="72F42FD6">
      <w:pPr>
        <w:keepNext w:val="0"/>
        <w:keepLines w:val="0"/>
        <w:pageBreakBefore w:val="0"/>
        <w:widowControl w:val="0"/>
        <w:kinsoku/>
        <w:wordWrap/>
        <w:overflowPunct/>
        <w:bidi w:val="0"/>
        <w:spacing w:after="313" w:afterLines="100" w:line="500" w:lineRule="exact"/>
        <w:ind w:firstLine="4800" w:firstLineChars="20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3DE0F93">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64B5AA74">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777ADFA1">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518B5F26">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0BF753E4">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43BE0B12">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附：法定代表人身份证复印件及委托代理人身份证复印件</w:t>
      </w:r>
    </w:p>
    <w:p w14:paraId="75F01813">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注：本授权委托书需由</w:t>
      </w:r>
      <w:r>
        <w:rPr>
          <w:rFonts w:hint="eastAsia" w:ascii="仿宋" w:hAnsi="仿宋" w:eastAsia="仿宋" w:cs="仿宋"/>
          <w:color w:val="auto"/>
          <w:sz w:val="24"/>
          <w:szCs w:val="24"/>
          <w:highlight w:val="none"/>
          <w:lang w:val="en-US" w:eastAsia="zh-CN"/>
        </w:rPr>
        <w:t>报价供应商</w:t>
      </w:r>
      <w:r>
        <w:rPr>
          <w:rFonts w:hint="eastAsia" w:ascii="仿宋" w:hAnsi="仿宋" w:eastAsia="仿宋" w:cs="仿宋"/>
          <w:color w:val="auto"/>
          <w:sz w:val="24"/>
          <w:szCs w:val="24"/>
          <w:highlight w:val="none"/>
        </w:rPr>
        <w:t>加盖</w:t>
      </w:r>
      <w:r>
        <w:rPr>
          <w:rFonts w:hint="eastAsia" w:ascii="仿宋" w:hAnsi="仿宋" w:eastAsia="仿宋" w:cs="仿宋"/>
          <w:color w:val="auto"/>
          <w:sz w:val="24"/>
          <w:szCs w:val="24"/>
          <w:highlight w:val="none"/>
          <w:lang w:val="en-US" w:eastAsia="zh-CN"/>
        </w:rPr>
        <w:t>公司</w:t>
      </w:r>
      <w:r>
        <w:rPr>
          <w:rFonts w:hint="eastAsia" w:ascii="仿宋" w:hAnsi="仿宋" w:eastAsia="仿宋" w:cs="仿宋"/>
          <w:color w:val="auto"/>
          <w:sz w:val="24"/>
          <w:szCs w:val="24"/>
          <w:highlight w:val="none"/>
        </w:rPr>
        <w:t>公章并由其法定代表人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p>
    <w:p w14:paraId="0B886C60">
      <w:pPr>
        <w:keepNext w:val="0"/>
        <w:keepLines w:val="0"/>
        <w:pageBreakBefore w:val="0"/>
        <w:widowControl w:val="0"/>
        <w:kinsoku/>
        <w:wordWrap/>
        <w:overflowPunct/>
        <w:bidi w:val="0"/>
        <w:spacing w:line="500" w:lineRule="exac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br w:type="page"/>
      </w:r>
    </w:p>
    <w:p w14:paraId="05A77D83">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9" w:name="_Toc15307"/>
      <w:r>
        <w:rPr>
          <w:rFonts w:hint="eastAsia" w:ascii="仿宋" w:hAnsi="仿宋" w:eastAsia="仿宋" w:cs="仿宋"/>
          <w:b/>
          <w:bCs/>
          <w:color w:val="auto"/>
          <w:sz w:val="32"/>
          <w:szCs w:val="32"/>
          <w:highlight w:val="none"/>
        </w:rPr>
        <w:t>信誉承诺表</w:t>
      </w:r>
      <w:bookmarkEnd w:id="79"/>
    </w:p>
    <w:tbl>
      <w:tblPr>
        <w:tblStyle w:val="24"/>
        <w:tblW w:w="85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95"/>
        <w:gridCol w:w="6225"/>
        <w:gridCol w:w="1265"/>
      </w:tblGrid>
      <w:tr w14:paraId="17597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jc w:val="center"/>
        </w:trPr>
        <w:tc>
          <w:tcPr>
            <w:tcW w:w="1095" w:type="dxa"/>
            <w:tcBorders>
              <w:top w:val="single" w:color="auto" w:sz="12" w:space="0"/>
              <w:left w:val="single" w:color="auto" w:sz="12" w:space="0"/>
              <w:bottom w:val="single" w:color="auto" w:sz="6" w:space="0"/>
              <w:right w:val="single" w:color="auto" w:sz="6" w:space="0"/>
            </w:tcBorders>
            <w:vAlign w:val="center"/>
          </w:tcPr>
          <w:p w14:paraId="2F01D91B">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6225" w:type="dxa"/>
            <w:tcBorders>
              <w:top w:val="single" w:color="auto" w:sz="12" w:space="0"/>
              <w:left w:val="single" w:color="auto" w:sz="6" w:space="0"/>
              <w:bottom w:val="single" w:color="auto" w:sz="6" w:space="0"/>
              <w:right w:val="single" w:color="auto" w:sz="6" w:space="0"/>
            </w:tcBorders>
            <w:vAlign w:val="center"/>
          </w:tcPr>
          <w:p w14:paraId="1B5C6C98">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信誉内容</w:t>
            </w:r>
          </w:p>
        </w:tc>
        <w:tc>
          <w:tcPr>
            <w:tcW w:w="1265" w:type="dxa"/>
            <w:tcBorders>
              <w:top w:val="single" w:color="auto" w:sz="12" w:space="0"/>
              <w:left w:val="single" w:color="auto" w:sz="6" w:space="0"/>
              <w:bottom w:val="single" w:color="auto" w:sz="6" w:space="0"/>
              <w:right w:val="single" w:color="auto" w:sz="12" w:space="0"/>
            </w:tcBorders>
            <w:vAlign w:val="center"/>
          </w:tcPr>
          <w:p w14:paraId="55C37B12">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情况说明</w:t>
            </w:r>
          </w:p>
        </w:tc>
      </w:tr>
      <w:tr w14:paraId="11A82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5"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28AD9606">
            <w:pPr>
              <w:keepNext w:val="0"/>
              <w:keepLines w:val="0"/>
              <w:pageBreakBefore w:val="0"/>
              <w:widowControl w:val="0"/>
              <w:kinsoku/>
              <w:wordWrap/>
              <w:overflowPunct/>
              <w:topLinePunct w:val="0"/>
              <w:autoSpaceDE w:val="0"/>
              <w:autoSpaceDN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6225" w:type="dxa"/>
            <w:tcBorders>
              <w:top w:val="single" w:color="auto" w:sz="6" w:space="0"/>
              <w:left w:val="single" w:color="auto" w:sz="6" w:space="0"/>
              <w:bottom w:val="single" w:color="auto" w:sz="6" w:space="0"/>
              <w:right w:val="single" w:color="auto" w:sz="6" w:space="0"/>
            </w:tcBorders>
            <w:vAlign w:val="center"/>
          </w:tcPr>
          <w:p w14:paraId="2137629E">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是否被责令停业，暂扣或吊销执照，或吊销资质证书</w:t>
            </w:r>
          </w:p>
        </w:tc>
        <w:tc>
          <w:tcPr>
            <w:tcW w:w="1265" w:type="dxa"/>
            <w:tcBorders>
              <w:top w:val="single" w:color="auto" w:sz="6" w:space="0"/>
              <w:left w:val="single" w:color="auto" w:sz="6" w:space="0"/>
              <w:bottom w:val="single" w:color="auto" w:sz="6" w:space="0"/>
              <w:right w:val="single" w:color="auto" w:sz="12" w:space="0"/>
            </w:tcBorders>
            <w:vAlign w:val="center"/>
          </w:tcPr>
          <w:p w14:paraId="45B9E3C2">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6FD2A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7"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3358947C">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6225" w:type="dxa"/>
            <w:tcBorders>
              <w:top w:val="single" w:color="auto" w:sz="6" w:space="0"/>
              <w:left w:val="single" w:color="auto" w:sz="6" w:space="0"/>
              <w:bottom w:val="single" w:color="auto" w:sz="6" w:space="0"/>
              <w:right w:val="single" w:color="auto" w:sz="6" w:space="0"/>
            </w:tcBorders>
            <w:vAlign w:val="center"/>
          </w:tcPr>
          <w:p w14:paraId="68C77CFF">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是否进入清算程序，或被宣告破产，或其他丧失履约能力的情形</w:t>
            </w:r>
          </w:p>
        </w:tc>
        <w:tc>
          <w:tcPr>
            <w:tcW w:w="1265" w:type="dxa"/>
            <w:tcBorders>
              <w:top w:val="single" w:color="auto" w:sz="6" w:space="0"/>
              <w:left w:val="single" w:color="auto" w:sz="6" w:space="0"/>
              <w:bottom w:val="single" w:color="auto" w:sz="6" w:space="0"/>
              <w:right w:val="single" w:color="auto" w:sz="12" w:space="0"/>
            </w:tcBorders>
            <w:vAlign w:val="center"/>
          </w:tcPr>
          <w:p w14:paraId="09E1954E">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1474A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75A98CAB">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6225" w:type="dxa"/>
            <w:tcBorders>
              <w:top w:val="single" w:color="auto" w:sz="6" w:space="0"/>
              <w:left w:val="single" w:color="auto" w:sz="6" w:space="0"/>
              <w:bottom w:val="single" w:color="auto" w:sz="6" w:space="0"/>
              <w:right w:val="single" w:color="auto" w:sz="6" w:space="0"/>
            </w:tcBorders>
            <w:vAlign w:val="center"/>
          </w:tcPr>
          <w:p w14:paraId="75F7E539">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是否在国家企业信用信息公示系统</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"http://www.gsxt.gov.cn/" </w:instrText>
            </w:r>
            <w:r>
              <w:rPr>
                <w:rFonts w:hint="eastAsia" w:ascii="仿宋" w:hAnsi="仿宋" w:eastAsia="仿宋" w:cs="仿宋"/>
                <w:color w:val="auto"/>
                <w:sz w:val="24"/>
                <w:szCs w:val="24"/>
                <w:highlight w:val="none"/>
              </w:rPr>
              <w:fldChar w:fldCharType="separate"/>
            </w:r>
            <w:r>
              <w:rPr>
                <w:rStyle w:val="28"/>
                <w:rFonts w:hint="eastAsia" w:ascii="仿宋" w:hAnsi="仿宋" w:eastAsia="仿宋" w:cs="仿宋"/>
                <w:color w:val="auto"/>
                <w:sz w:val="24"/>
                <w:szCs w:val="24"/>
                <w:highlight w:val="none"/>
              </w:rPr>
              <w:t>（http://www.gsxt.gov.cn</w:t>
            </w:r>
            <w:r>
              <w:rPr>
                <w:rStyle w:val="31"/>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）中被列入严重违法失信企业名单</w:t>
            </w:r>
          </w:p>
        </w:tc>
        <w:tc>
          <w:tcPr>
            <w:tcW w:w="1265" w:type="dxa"/>
            <w:tcBorders>
              <w:top w:val="single" w:color="auto" w:sz="6" w:space="0"/>
              <w:left w:val="single" w:color="auto" w:sz="6" w:space="0"/>
              <w:bottom w:val="single" w:color="auto" w:sz="6" w:space="0"/>
              <w:right w:val="single" w:color="auto" w:sz="12" w:space="0"/>
            </w:tcBorders>
            <w:vAlign w:val="center"/>
          </w:tcPr>
          <w:p w14:paraId="79C00BB6">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6CD77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95" w:type="dxa"/>
            <w:tcBorders>
              <w:top w:val="single" w:color="auto" w:sz="6" w:space="0"/>
              <w:left w:val="single" w:color="auto" w:sz="12" w:space="0"/>
              <w:bottom w:val="single" w:color="auto" w:sz="12" w:space="0"/>
              <w:right w:val="single" w:color="auto" w:sz="6" w:space="0"/>
            </w:tcBorders>
            <w:vAlign w:val="center"/>
          </w:tcPr>
          <w:p w14:paraId="2D8007C6">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6225" w:type="dxa"/>
            <w:tcBorders>
              <w:top w:val="single" w:color="auto" w:sz="6" w:space="0"/>
              <w:left w:val="single" w:color="auto" w:sz="6" w:space="0"/>
              <w:bottom w:val="single" w:color="auto" w:sz="12" w:space="0"/>
              <w:right w:val="single" w:color="auto" w:sz="6" w:space="0"/>
            </w:tcBorders>
            <w:vAlign w:val="center"/>
          </w:tcPr>
          <w:p w14:paraId="6351EF78">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是否在信用中国网站（</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"http://www.creditchina.gov.cn/" </w:instrText>
            </w:r>
            <w:r>
              <w:rPr>
                <w:rFonts w:hint="eastAsia" w:ascii="仿宋" w:hAnsi="仿宋" w:eastAsia="仿宋" w:cs="仿宋"/>
                <w:color w:val="auto"/>
                <w:sz w:val="24"/>
                <w:szCs w:val="24"/>
                <w:highlight w:val="none"/>
              </w:rPr>
              <w:fldChar w:fldCharType="separate"/>
            </w:r>
            <w:r>
              <w:rPr>
                <w:rStyle w:val="28"/>
                <w:rFonts w:hint="eastAsia" w:ascii="仿宋" w:hAnsi="仿宋" w:eastAsia="仿宋" w:cs="仿宋"/>
                <w:color w:val="auto"/>
                <w:sz w:val="24"/>
                <w:szCs w:val="24"/>
                <w:highlight w:val="none"/>
              </w:rPr>
              <w:t>http://www.creditchina.gov.cn</w:t>
            </w:r>
            <w:r>
              <w:rPr>
                <w:rStyle w:val="31"/>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）中被列入失信被执行人名单</w:t>
            </w:r>
          </w:p>
        </w:tc>
        <w:tc>
          <w:tcPr>
            <w:tcW w:w="1265" w:type="dxa"/>
            <w:tcBorders>
              <w:top w:val="single" w:color="auto" w:sz="6" w:space="0"/>
              <w:left w:val="single" w:color="auto" w:sz="6" w:space="0"/>
              <w:bottom w:val="single" w:color="auto" w:sz="12" w:space="0"/>
              <w:right w:val="single" w:color="auto" w:sz="12" w:space="0"/>
            </w:tcBorders>
            <w:vAlign w:val="center"/>
          </w:tcPr>
          <w:p w14:paraId="20A6E15E">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bl>
    <w:p w14:paraId="1DEFD3A4">
      <w:pPr>
        <w:keepNext w:val="0"/>
        <w:keepLines w:val="0"/>
        <w:pageBreakBefore w:val="0"/>
        <w:widowControl w:val="0"/>
        <w:kinsoku/>
        <w:wordWrap/>
        <w:overflowPunct/>
        <w:topLinePunct w:val="0"/>
        <w:bidi w:val="0"/>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5E0F140F">
      <w:pPr>
        <w:keepNext w:val="0"/>
        <w:keepLines w:val="0"/>
        <w:pageBreakBefore w:val="0"/>
        <w:widowControl w:val="0"/>
        <w:kinsoku/>
        <w:wordWrap/>
        <w:overflowPunct/>
        <w:topLinePunct w:val="0"/>
        <w:bidi w:val="0"/>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情况说明请填写“是”或“否”。</w:t>
      </w:r>
    </w:p>
    <w:p w14:paraId="3AEDB2F3">
      <w:pPr>
        <w:keepNext w:val="0"/>
        <w:keepLines w:val="0"/>
        <w:pageBreakBefore w:val="0"/>
        <w:widowControl w:val="0"/>
        <w:kinsoku/>
        <w:wordWrap/>
        <w:overflowPunct/>
        <w:topLinePunct w:val="0"/>
        <w:bidi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应如实填写本表，如隐瞒真实情况，一旦发现将取消其签约资格。</w:t>
      </w:r>
    </w:p>
    <w:p w14:paraId="58C205B8">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lang w:val="en-US" w:eastAsia="zh-CN"/>
        </w:rPr>
      </w:pPr>
    </w:p>
    <w:p w14:paraId="06DE1F0A">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354FA1E">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签名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rPr>
        <w:t xml:space="preserve"> </w:t>
      </w:r>
    </w:p>
    <w:p w14:paraId="6F263689">
      <w:pPr>
        <w:keepNext w:val="0"/>
        <w:keepLines w:val="0"/>
        <w:pageBreakBefore w:val="0"/>
        <w:widowControl w:val="0"/>
        <w:kinsoku/>
        <w:wordWrap/>
        <w:overflowPunct/>
        <w:bidi w:val="0"/>
        <w:spacing w:after="313" w:afterLines="100" w:line="500" w:lineRule="exact"/>
        <w:ind w:left="3360" w:leftChars="1400"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bookmarkStart w:id="80" w:name="评标细则"/>
      <w:bookmarkEnd w:id="80"/>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93"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9D2A">
    <w:pPr>
      <w:pStyle w:val="16"/>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50CC">
    <w:pPr>
      <w:pStyle w:val="16"/>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499E90C">
                          <w:pPr>
                            <w:pStyle w:val="16"/>
                          </w:pPr>
                          <w:r>
                            <w:fldChar w:fldCharType="begin"/>
                          </w:r>
                          <w:r>
                            <w:instrText xml:space="preserve"> PAGE  \* MERGEFORMAT </w:instrText>
                          </w:r>
                          <w:r>
                            <w:fldChar w:fldCharType="separate"/>
                          </w:r>
                          <w:r>
                            <w:rPr>
                              <w:lang w:val="en-US" w:eastAsia="zh-CN"/>
                            </w:rPr>
                            <w:t>1</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B87YD+CgIAAAEEAAAOAAAAAAAAAAEAIAAAAB8BAABk&#10;cnMvZTJvRG9jLnhtbFBLBQYAAAAABgAGAFkBAACbBQAAAAA=&#10;">
              <v:fill on="f" focussize="0,0"/>
              <v:stroke on="f"/>
              <v:imagedata o:title=""/>
              <o:lock v:ext="edit" aspectratio="f"/>
              <v:textbox inset="0mm,0mm,0mm,0mm" style="mso-fit-shape-to-text:t;">
                <w:txbxContent>
                  <w:p w14:paraId="5499E90C">
                    <w:pPr>
                      <w:pStyle w:val="16"/>
                    </w:pPr>
                    <w:r>
                      <w:fldChar w:fldCharType="begin"/>
                    </w:r>
                    <w:r>
                      <w:instrText xml:space="preserve"> PAGE  \* MERGEFORMAT </w:instrText>
                    </w:r>
                    <w:r>
                      <w:fldChar w:fldCharType="separate"/>
                    </w:r>
                    <w:r>
                      <w:rPr>
                        <w:lang w:val="en-US" w:eastAsia="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B11F">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123B4906">
                          <w:pPr>
                            <w:pStyle w:val="16"/>
                          </w:pPr>
                          <w:r>
                            <w:fldChar w:fldCharType="begin"/>
                          </w:r>
                          <w:r>
                            <w:instrText xml:space="preserve"> PAGE  \* MERGEFORMAT </w:instrText>
                          </w:r>
                          <w:r>
                            <w:fldChar w:fldCharType="separate"/>
                          </w:r>
                          <w:r>
                            <w:rPr>
                              <w:lang w:val="en-US" w:eastAsia="zh-CN"/>
                            </w:rPr>
                            <w:t>5</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pCZHDQIAAA8EAAAOAAAAAAAAAAEAIAAAAB8B&#10;AABkcnMvZTJvRG9jLnhtbFBLBQYAAAAABgAGAFkBAACeBQAAAAA=&#10;">
              <v:fill on="f" focussize="0,0"/>
              <v:stroke on="f"/>
              <v:imagedata o:title=""/>
              <o:lock v:ext="edit" aspectratio="f"/>
              <v:textbox inset="0mm,0mm,0mm,0mm" style="mso-fit-shape-to-text:t;">
                <w:txbxContent>
                  <w:p w14:paraId="123B4906">
                    <w:pPr>
                      <w:pStyle w:val="16"/>
                    </w:pPr>
                    <w:r>
                      <w:fldChar w:fldCharType="begin"/>
                    </w:r>
                    <w:r>
                      <w:instrText xml:space="preserve"> PAGE  \* MERGEFORMAT </w:instrText>
                    </w:r>
                    <w:r>
                      <w:fldChar w:fldCharType="separate"/>
                    </w:r>
                    <w:r>
                      <w:rPr>
                        <w:lang w:val="en-US" w:eastAsia="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3549">
    <w:pPr>
      <w:pStyle w:val="17"/>
    </w:pPr>
  </w:p>
  <w:p w14:paraId="772D1260">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ECD27"/>
    <w:multiLevelType w:val="multilevel"/>
    <w:tmpl w:val="A73ECD27"/>
    <w:lvl w:ilvl="0" w:tentative="0">
      <w:start w:val="1"/>
      <w:numFmt w:val="none"/>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suff w:val="nothing"/>
      <w:lvlText w:val="%2."/>
      <w:lvlJc w:val="left"/>
      <w:pPr>
        <w:tabs>
          <w:tab w:val="left" w:pos="0"/>
        </w:tabs>
        <w:ind w:left="0" w:firstLine="402"/>
      </w:pPr>
      <w:rPr>
        <w:rFonts w:hint="default" w:ascii="宋体" w:hAnsi="宋体" w:eastAsia="宋体" w:cs="宋体"/>
        <w:sz w:val="36"/>
      </w:rPr>
    </w:lvl>
    <w:lvl w:ilvl="2" w:tentative="0">
      <w:start w:val="1"/>
      <w:numFmt w:val="decimal"/>
      <w:suff w:val="nothing"/>
      <w:lvlText w:val="%3.1"/>
      <w:lvlJc w:val="left"/>
      <w:pPr>
        <w:ind w:left="0" w:firstLine="402"/>
      </w:pPr>
      <w:rPr>
        <w:rFonts w:hint="default" w:ascii="宋体" w:hAnsi="宋体" w:eastAsia="宋体" w:cs="宋体"/>
        <w:sz w:val="32"/>
      </w:rPr>
    </w:lvl>
    <w:lvl w:ilvl="3" w:tentative="0">
      <w:start w:val="1"/>
      <w:numFmt w:val="none"/>
      <w:pStyle w:val="6"/>
      <w:suff w:val="nothing"/>
      <w:lvlText w:val="3.1.1"/>
      <w:lvlJc w:val="left"/>
      <w:pPr>
        <w:ind w:left="0" w:firstLine="402"/>
      </w:pPr>
      <w:rPr>
        <w:rFonts w:hint="default" w:ascii="宋体" w:hAnsi="宋体" w:eastAsia="宋体" w:cs="宋体"/>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5D15C48"/>
    <w:multiLevelType w:val="multilevel"/>
    <w:tmpl w:val="D5D15C48"/>
    <w:lvl w:ilvl="0" w:tentative="0">
      <w:start w:val="1"/>
      <w:numFmt w:val="none"/>
      <w:pStyle w:val="3"/>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pStyle w:val="4"/>
      <w:suff w:val="nothing"/>
      <w:lvlText w:val="%2."/>
      <w:lvlJc w:val="left"/>
      <w:pPr>
        <w:ind w:left="0" w:firstLine="402"/>
      </w:pPr>
      <w:rPr>
        <w:rFonts w:hint="default" w:ascii="宋体" w:hAnsi="宋体" w:eastAsia="宋体" w:cs="宋体"/>
        <w:sz w:val="36"/>
      </w:rPr>
    </w:lvl>
    <w:lvl w:ilvl="2" w:tentative="0">
      <w:start w:val="1"/>
      <w:numFmt w:val="decimal"/>
      <w:pStyle w:val="5"/>
      <w:suff w:val="nothing"/>
      <w:lvlText w:val="1.%3"/>
      <w:lvlJc w:val="left"/>
      <w:pPr>
        <w:tabs>
          <w:tab w:val="left" w:pos="0"/>
        </w:tabs>
        <w:ind w:left="0" w:firstLine="402"/>
      </w:pPr>
      <w:rPr>
        <w:rFonts w:hint="default" w:ascii="宋体" w:hAnsi="宋体" w:eastAsia="宋体" w:cs="宋体"/>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revisionView w:markup="0"/>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kMDgzMTQyZDRhOTY3OWI1ZmYyY2IyN2I0YWNlYzUifQ=="/>
  </w:docVars>
  <w:rsids>
    <w:rsidRoot w:val="2006120C"/>
    <w:rsid w:val="00001D51"/>
    <w:rsid w:val="00033517"/>
    <w:rsid w:val="0013536E"/>
    <w:rsid w:val="0024688E"/>
    <w:rsid w:val="002C79EC"/>
    <w:rsid w:val="002D02C9"/>
    <w:rsid w:val="004B69DE"/>
    <w:rsid w:val="00567897"/>
    <w:rsid w:val="005B5F30"/>
    <w:rsid w:val="005C51E2"/>
    <w:rsid w:val="00640704"/>
    <w:rsid w:val="00692C06"/>
    <w:rsid w:val="006A46BE"/>
    <w:rsid w:val="006C0827"/>
    <w:rsid w:val="006C1E94"/>
    <w:rsid w:val="006F1B9B"/>
    <w:rsid w:val="0084618B"/>
    <w:rsid w:val="0089782E"/>
    <w:rsid w:val="008A367F"/>
    <w:rsid w:val="009944D0"/>
    <w:rsid w:val="00995766"/>
    <w:rsid w:val="009A55C6"/>
    <w:rsid w:val="009B3A05"/>
    <w:rsid w:val="009E2D10"/>
    <w:rsid w:val="009F518A"/>
    <w:rsid w:val="00A41AF0"/>
    <w:rsid w:val="00A45B07"/>
    <w:rsid w:val="00A92088"/>
    <w:rsid w:val="00B10D50"/>
    <w:rsid w:val="00B65D10"/>
    <w:rsid w:val="00B7695A"/>
    <w:rsid w:val="00B800D5"/>
    <w:rsid w:val="00BF4306"/>
    <w:rsid w:val="00C46EEF"/>
    <w:rsid w:val="00C63141"/>
    <w:rsid w:val="00C93778"/>
    <w:rsid w:val="00D822CF"/>
    <w:rsid w:val="00DB351D"/>
    <w:rsid w:val="00E16761"/>
    <w:rsid w:val="00E36350"/>
    <w:rsid w:val="00E36F25"/>
    <w:rsid w:val="00ED705C"/>
    <w:rsid w:val="00EE1528"/>
    <w:rsid w:val="00EE4783"/>
    <w:rsid w:val="00F56F3E"/>
    <w:rsid w:val="01471432"/>
    <w:rsid w:val="016B2FC0"/>
    <w:rsid w:val="01731B3C"/>
    <w:rsid w:val="0184537D"/>
    <w:rsid w:val="018E2987"/>
    <w:rsid w:val="020E7CF9"/>
    <w:rsid w:val="022913A6"/>
    <w:rsid w:val="02482F0B"/>
    <w:rsid w:val="02611557"/>
    <w:rsid w:val="027173B2"/>
    <w:rsid w:val="027974C8"/>
    <w:rsid w:val="028A336A"/>
    <w:rsid w:val="02DC5D8C"/>
    <w:rsid w:val="02E203F7"/>
    <w:rsid w:val="030B6A41"/>
    <w:rsid w:val="032F44DE"/>
    <w:rsid w:val="0335682C"/>
    <w:rsid w:val="042656E3"/>
    <w:rsid w:val="042808C9"/>
    <w:rsid w:val="042D25A7"/>
    <w:rsid w:val="0449714B"/>
    <w:rsid w:val="045A11D9"/>
    <w:rsid w:val="04636113"/>
    <w:rsid w:val="047D70B5"/>
    <w:rsid w:val="04C27644"/>
    <w:rsid w:val="04CF4708"/>
    <w:rsid w:val="04E35A1E"/>
    <w:rsid w:val="056E657D"/>
    <w:rsid w:val="057C3593"/>
    <w:rsid w:val="05897A7F"/>
    <w:rsid w:val="05B246F1"/>
    <w:rsid w:val="05BF4537"/>
    <w:rsid w:val="06081F1A"/>
    <w:rsid w:val="068026FA"/>
    <w:rsid w:val="068C25DB"/>
    <w:rsid w:val="06AC3BB0"/>
    <w:rsid w:val="06D5093D"/>
    <w:rsid w:val="06E404BE"/>
    <w:rsid w:val="0729012F"/>
    <w:rsid w:val="07652D43"/>
    <w:rsid w:val="07C10E62"/>
    <w:rsid w:val="092661CC"/>
    <w:rsid w:val="09612377"/>
    <w:rsid w:val="09711736"/>
    <w:rsid w:val="09984724"/>
    <w:rsid w:val="09B32A99"/>
    <w:rsid w:val="09DE7B82"/>
    <w:rsid w:val="0A117680"/>
    <w:rsid w:val="0A235210"/>
    <w:rsid w:val="0B7F08F7"/>
    <w:rsid w:val="0B8C638A"/>
    <w:rsid w:val="0C197589"/>
    <w:rsid w:val="0C306986"/>
    <w:rsid w:val="0C3E26EA"/>
    <w:rsid w:val="0C4834D8"/>
    <w:rsid w:val="0C4D28BD"/>
    <w:rsid w:val="0C847FD3"/>
    <w:rsid w:val="0CDD71F7"/>
    <w:rsid w:val="0D254DBC"/>
    <w:rsid w:val="0D40150B"/>
    <w:rsid w:val="0DD244C8"/>
    <w:rsid w:val="0DE668F0"/>
    <w:rsid w:val="0E4D2975"/>
    <w:rsid w:val="0EF1693D"/>
    <w:rsid w:val="0F884495"/>
    <w:rsid w:val="0FC35F97"/>
    <w:rsid w:val="0FE87926"/>
    <w:rsid w:val="0FFF483E"/>
    <w:rsid w:val="10743A86"/>
    <w:rsid w:val="107F4645"/>
    <w:rsid w:val="10B81417"/>
    <w:rsid w:val="11297025"/>
    <w:rsid w:val="11384BA7"/>
    <w:rsid w:val="11523463"/>
    <w:rsid w:val="119E50BE"/>
    <w:rsid w:val="122357EE"/>
    <w:rsid w:val="123C5B58"/>
    <w:rsid w:val="12401AB8"/>
    <w:rsid w:val="13634EC3"/>
    <w:rsid w:val="13CF742F"/>
    <w:rsid w:val="13D34583"/>
    <w:rsid w:val="13D749A0"/>
    <w:rsid w:val="14234899"/>
    <w:rsid w:val="1424760F"/>
    <w:rsid w:val="14706BA3"/>
    <w:rsid w:val="150C0DE4"/>
    <w:rsid w:val="158D1C33"/>
    <w:rsid w:val="15972182"/>
    <w:rsid w:val="15EB0556"/>
    <w:rsid w:val="15F613A0"/>
    <w:rsid w:val="160C070B"/>
    <w:rsid w:val="164E147F"/>
    <w:rsid w:val="167839B0"/>
    <w:rsid w:val="16893F4C"/>
    <w:rsid w:val="169A66AA"/>
    <w:rsid w:val="16CA3413"/>
    <w:rsid w:val="16E55108"/>
    <w:rsid w:val="1701568E"/>
    <w:rsid w:val="17F7601A"/>
    <w:rsid w:val="182C42DF"/>
    <w:rsid w:val="183D0850"/>
    <w:rsid w:val="187240A4"/>
    <w:rsid w:val="18835D78"/>
    <w:rsid w:val="18F62423"/>
    <w:rsid w:val="18FA01A9"/>
    <w:rsid w:val="190B76EB"/>
    <w:rsid w:val="190F0C68"/>
    <w:rsid w:val="19306751"/>
    <w:rsid w:val="193E56D5"/>
    <w:rsid w:val="194C7C9D"/>
    <w:rsid w:val="1972340A"/>
    <w:rsid w:val="19944E0D"/>
    <w:rsid w:val="19F86D93"/>
    <w:rsid w:val="1A1A3434"/>
    <w:rsid w:val="1A933D26"/>
    <w:rsid w:val="1AFA75C5"/>
    <w:rsid w:val="1B4B19D3"/>
    <w:rsid w:val="1B7A6DDD"/>
    <w:rsid w:val="1B907E22"/>
    <w:rsid w:val="1BA957C6"/>
    <w:rsid w:val="1C2171D5"/>
    <w:rsid w:val="1C2D2553"/>
    <w:rsid w:val="1C5C0850"/>
    <w:rsid w:val="1C8013C6"/>
    <w:rsid w:val="1C823A49"/>
    <w:rsid w:val="1CCA3360"/>
    <w:rsid w:val="1D0B79AF"/>
    <w:rsid w:val="1D441E5D"/>
    <w:rsid w:val="1D773B72"/>
    <w:rsid w:val="1DAA3129"/>
    <w:rsid w:val="1DC31CBE"/>
    <w:rsid w:val="1E6C4158"/>
    <w:rsid w:val="1E8D5163"/>
    <w:rsid w:val="1F260C07"/>
    <w:rsid w:val="1FA959F2"/>
    <w:rsid w:val="1FAD562C"/>
    <w:rsid w:val="1FBC0F9D"/>
    <w:rsid w:val="2006120C"/>
    <w:rsid w:val="206641CB"/>
    <w:rsid w:val="208512E0"/>
    <w:rsid w:val="20895988"/>
    <w:rsid w:val="20CD0201"/>
    <w:rsid w:val="20E61545"/>
    <w:rsid w:val="2175327C"/>
    <w:rsid w:val="21944011"/>
    <w:rsid w:val="22217C35"/>
    <w:rsid w:val="22574C5E"/>
    <w:rsid w:val="22725F6B"/>
    <w:rsid w:val="227A7658"/>
    <w:rsid w:val="23766EFC"/>
    <w:rsid w:val="23BE29B8"/>
    <w:rsid w:val="23C604D1"/>
    <w:rsid w:val="23D13B21"/>
    <w:rsid w:val="23FD1C9E"/>
    <w:rsid w:val="240C4BB0"/>
    <w:rsid w:val="242D52FC"/>
    <w:rsid w:val="245B5E24"/>
    <w:rsid w:val="24993B07"/>
    <w:rsid w:val="24A43F71"/>
    <w:rsid w:val="24D664DE"/>
    <w:rsid w:val="25024DDE"/>
    <w:rsid w:val="25032053"/>
    <w:rsid w:val="25562C1A"/>
    <w:rsid w:val="257A0A74"/>
    <w:rsid w:val="258D1980"/>
    <w:rsid w:val="25B61F3B"/>
    <w:rsid w:val="26B04094"/>
    <w:rsid w:val="26B1682B"/>
    <w:rsid w:val="27423919"/>
    <w:rsid w:val="277201B1"/>
    <w:rsid w:val="278E2369"/>
    <w:rsid w:val="27940080"/>
    <w:rsid w:val="27E20E07"/>
    <w:rsid w:val="27F87645"/>
    <w:rsid w:val="282F32ED"/>
    <w:rsid w:val="28885326"/>
    <w:rsid w:val="28932542"/>
    <w:rsid w:val="28D1706F"/>
    <w:rsid w:val="29462D43"/>
    <w:rsid w:val="296D2E3A"/>
    <w:rsid w:val="2A0C6C21"/>
    <w:rsid w:val="2A3D54F9"/>
    <w:rsid w:val="2A43247C"/>
    <w:rsid w:val="2A584856"/>
    <w:rsid w:val="2A647DD0"/>
    <w:rsid w:val="2AA33B05"/>
    <w:rsid w:val="2B045D24"/>
    <w:rsid w:val="2B0A7E4D"/>
    <w:rsid w:val="2B1D67BA"/>
    <w:rsid w:val="2B6A5861"/>
    <w:rsid w:val="2BAE1109"/>
    <w:rsid w:val="2BE33C0E"/>
    <w:rsid w:val="2C446FB7"/>
    <w:rsid w:val="2C7B6DA5"/>
    <w:rsid w:val="2D733D89"/>
    <w:rsid w:val="2DAC7E31"/>
    <w:rsid w:val="2DDC5B7F"/>
    <w:rsid w:val="2DE116A5"/>
    <w:rsid w:val="2DE4263F"/>
    <w:rsid w:val="2E975000"/>
    <w:rsid w:val="2E9F7309"/>
    <w:rsid w:val="2EF87EBB"/>
    <w:rsid w:val="2FCB42DA"/>
    <w:rsid w:val="301205EA"/>
    <w:rsid w:val="307F6E88"/>
    <w:rsid w:val="310746D9"/>
    <w:rsid w:val="31A24681"/>
    <w:rsid w:val="31AC6FC7"/>
    <w:rsid w:val="31D36B71"/>
    <w:rsid w:val="328F4DE6"/>
    <w:rsid w:val="32A85078"/>
    <w:rsid w:val="331A4C4B"/>
    <w:rsid w:val="33551721"/>
    <w:rsid w:val="337150A4"/>
    <w:rsid w:val="339737E6"/>
    <w:rsid w:val="33F66E26"/>
    <w:rsid w:val="341B57F4"/>
    <w:rsid w:val="341D52E2"/>
    <w:rsid w:val="3447440B"/>
    <w:rsid w:val="350A780C"/>
    <w:rsid w:val="35CD056E"/>
    <w:rsid w:val="36025B3C"/>
    <w:rsid w:val="36324603"/>
    <w:rsid w:val="36462D9A"/>
    <w:rsid w:val="365E750D"/>
    <w:rsid w:val="3684408F"/>
    <w:rsid w:val="36C23A41"/>
    <w:rsid w:val="3755392D"/>
    <w:rsid w:val="376222B2"/>
    <w:rsid w:val="376A6F52"/>
    <w:rsid w:val="37B22E4A"/>
    <w:rsid w:val="37DA79C7"/>
    <w:rsid w:val="38007799"/>
    <w:rsid w:val="3840522F"/>
    <w:rsid w:val="386931EC"/>
    <w:rsid w:val="387B36CD"/>
    <w:rsid w:val="389F5CA7"/>
    <w:rsid w:val="38B317C0"/>
    <w:rsid w:val="38BF4014"/>
    <w:rsid w:val="38DA6777"/>
    <w:rsid w:val="38F27404"/>
    <w:rsid w:val="393036CB"/>
    <w:rsid w:val="394615CB"/>
    <w:rsid w:val="39C03C82"/>
    <w:rsid w:val="39CB074A"/>
    <w:rsid w:val="3A06211A"/>
    <w:rsid w:val="3A52154A"/>
    <w:rsid w:val="3AAE27EE"/>
    <w:rsid w:val="3ABB6DD8"/>
    <w:rsid w:val="3B0B28E8"/>
    <w:rsid w:val="3BDA5786"/>
    <w:rsid w:val="3BE50B93"/>
    <w:rsid w:val="3C68200B"/>
    <w:rsid w:val="3D1C31F5"/>
    <w:rsid w:val="3D5850D6"/>
    <w:rsid w:val="3DFA148C"/>
    <w:rsid w:val="3E20000B"/>
    <w:rsid w:val="3E77258B"/>
    <w:rsid w:val="3EB561E1"/>
    <w:rsid w:val="3EBC7731"/>
    <w:rsid w:val="3F6A752B"/>
    <w:rsid w:val="3F8F2D59"/>
    <w:rsid w:val="3FC21E2F"/>
    <w:rsid w:val="40404FA9"/>
    <w:rsid w:val="40D96845"/>
    <w:rsid w:val="410938E0"/>
    <w:rsid w:val="415E1ED8"/>
    <w:rsid w:val="41A447FD"/>
    <w:rsid w:val="41DA738F"/>
    <w:rsid w:val="41F57BE2"/>
    <w:rsid w:val="4207635A"/>
    <w:rsid w:val="423E471D"/>
    <w:rsid w:val="42416881"/>
    <w:rsid w:val="424E34D4"/>
    <w:rsid w:val="42D11AD9"/>
    <w:rsid w:val="42EE4CF1"/>
    <w:rsid w:val="435F6C4C"/>
    <w:rsid w:val="438F6A58"/>
    <w:rsid w:val="439B2983"/>
    <w:rsid w:val="43A16589"/>
    <w:rsid w:val="43EB2EB1"/>
    <w:rsid w:val="43EF2DCD"/>
    <w:rsid w:val="4425747D"/>
    <w:rsid w:val="44597C1B"/>
    <w:rsid w:val="447905FB"/>
    <w:rsid w:val="44A85F0E"/>
    <w:rsid w:val="44F1133E"/>
    <w:rsid w:val="45230884"/>
    <w:rsid w:val="455C5CEB"/>
    <w:rsid w:val="45957C39"/>
    <w:rsid w:val="45A515DF"/>
    <w:rsid w:val="45A871D6"/>
    <w:rsid w:val="46143451"/>
    <w:rsid w:val="466B04E9"/>
    <w:rsid w:val="468821B1"/>
    <w:rsid w:val="469146BB"/>
    <w:rsid w:val="46E32C24"/>
    <w:rsid w:val="46EA7EC6"/>
    <w:rsid w:val="46ED2E03"/>
    <w:rsid w:val="47280D5A"/>
    <w:rsid w:val="47617DDD"/>
    <w:rsid w:val="477079B1"/>
    <w:rsid w:val="479C7DF0"/>
    <w:rsid w:val="481E02A5"/>
    <w:rsid w:val="48284A31"/>
    <w:rsid w:val="48956893"/>
    <w:rsid w:val="4896303B"/>
    <w:rsid w:val="48B8654B"/>
    <w:rsid w:val="48C82735"/>
    <w:rsid w:val="499371A3"/>
    <w:rsid w:val="499D1D72"/>
    <w:rsid w:val="49AC469F"/>
    <w:rsid w:val="49B61F08"/>
    <w:rsid w:val="49BC7BD7"/>
    <w:rsid w:val="49C078A3"/>
    <w:rsid w:val="49E7156C"/>
    <w:rsid w:val="4A2026CB"/>
    <w:rsid w:val="4A250A63"/>
    <w:rsid w:val="4A7E1DB5"/>
    <w:rsid w:val="4AC33245"/>
    <w:rsid w:val="4AF8010B"/>
    <w:rsid w:val="4B277F06"/>
    <w:rsid w:val="4B441AE3"/>
    <w:rsid w:val="4B516F36"/>
    <w:rsid w:val="4B6F6898"/>
    <w:rsid w:val="4BB85697"/>
    <w:rsid w:val="4BED2E93"/>
    <w:rsid w:val="4C616B77"/>
    <w:rsid w:val="4C697822"/>
    <w:rsid w:val="4C792618"/>
    <w:rsid w:val="4C821E99"/>
    <w:rsid w:val="4DAE585C"/>
    <w:rsid w:val="4DBB71F6"/>
    <w:rsid w:val="4DE36432"/>
    <w:rsid w:val="4DEA2712"/>
    <w:rsid w:val="4DF23BA9"/>
    <w:rsid w:val="4E16353F"/>
    <w:rsid w:val="4E1C4711"/>
    <w:rsid w:val="4E830532"/>
    <w:rsid w:val="4ED074DD"/>
    <w:rsid w:val="4F1C4541"/>
    <w:rsid w:val="4F3F5B57"/>
    <w:rsid w:val="4FAE7D5E"/>
    <w:rsid w:val="500C0D09"/>
    <w:rsid w:val="503C40EA"/>
    <w:rsid w:val="50837DA4"/>
    <w:rsid w:val="50B77B07"/>
    <w:rsid w:val="50C437A2"/>
    <w:rsid w:val="50DB72C0"/>
    <w:rsid w:val="50E25BB5"/>
    <w:rsid w:val="510F4195"/>
    <w:rsid w:val="51363DAD"/>
    <w:rsid w:val="518A50D1"/>
    <w:rsid w:val="51C40843"/>
    <w:rsid w:val="51CF3489"/>
    <w:rsid w:val="520A4F8C"/>
    <w:rsid w:val="52400EF9"/>
    <w:rsid w:val="52626DB3"/>
    <w:rsid w:val="52881CAE"/>
    <w:rsid w:val="528B1446"/>
    <w:rsid w:val="52AB4BC6"/>
    <w:rsid w:val="52E47EBC"/>
    <w:rsid w:val="53713458"/>
    <w:rsid w:val="539B01A9"/>
    <w:rsid w:val="53CE63B5"/>
    <w:rsid w:val="546C69CA"/>
    <w:rsid w:val="55205C5D"/>
    <w:rsid w:val="555E3990"/>
    <w:rsid w:val="559F6ED3"/>
    <w:rsid w:val="55A559A5"/>
    <w:rsid w:val="55D10701"/>
    <w:rsid w:val="56516EDE"/>
    <w:rsid w:val="56691C0E"/>
    <w:rsid w:val="568C5674"/>
    <w:rsid w:val="56941FB1"/>
    <w:rsid w:val="570E5995"/>
    <w:rsid w:val="57852D80"/>
    <w:rsid w:val="57876EF9"/>
    <w:rsid w:val="584A3D97"/>
    <w:rsid w:val="585D737F"/>
    <w:rsid w:val="58601AF1"/>
    <w:rsid w:val="588C2C9A"/>
    <w:rsid w:val="58BD16F5"/>
    <w:rsid w:val="592E1DCE"/>
    <w:rsid w:val="59A84B05"/>
    <w:rsid w:val="59E827C4"/>
    <w:rsid w:val="5A031E39"/>
    <w:rsid w:val="5A0F7891"/>
    <w:rsid w:val="5A8B33BB"/>
    <w:rsid w:val="5ABC515E"/>
    <w:rsid w:val="5AFD6893"/>
    <w:rsid w:val="5B6A5C30"/>
    <w:rsid w:val="5B7C1EA5"/>
    <w:rsid w:val="5BCA1DA4"/>
    <w:rsid w:val="5BDB19E8"/>
    <w:rsid w:val="5BF84411"/>
    <w:rsid w:val="5C10302B"/>
    <w:rsid w:val="5C3B5FDC"/>
    <w:rsid w:val="5C793380"/>
    <w:rsid w:val="5CA8160A"/>
    <w:rsid w:val="5CB71649"/>
    <w:rsid w:val="5CC04F2B"/>
    <w:rsid w:val="5D113CB0"/>
    <w:rsid w:val="5D2243BB"/>
    <w:rsid w:val="5DA47FA0"/>
    <w:rsid w:val="5E2324E7"/>
    <w:rsid w:val="5E8D47B7"/>
    <w:rsid w:val="5E8E13E1"/>
    <w:rsid w:val="5E9A5F0B"/>
    <w:rsid w:val="5EB763DD"/>
    <w:rsid w:val="5ED459C9"/>
    <w:rsid w:val="5F3E0450"/>
    <w:rsid w:val="60555A41"/>
    <w:rsid w:val="60D35963"/>
    <w:rsid w:val="613D1F5B"/>
    <w:rsid w:val="618F0100"/>
    <w:rsid w:val="61E462B1"/>
    <w:rsid w:val="62524D95"/>
    <w:rsid w:val="62B774CE"/>
    <w:rsid w:val="62D74326"/>
    <w:rsid w:val="63BA0754"/>
    <w:rsid w:val="63BD2B4A"/>
    <w:rsid w:val="64162322"/>
    <w:rsid w:val="644C47CC"/>
    <w:rsid w:val="64845356"/>
    <w:rsid w:val="64E7422F"/>
    <w:rsid w:val="64E9122D"/>
    <w:rsid w:val="652B737F"/>
    <w:rsid w:val="654B061E"/>
    <w:rsid w:val="655D070B"/>
    <w:rsid w:val="656744F1"/>
    <w:rsid w:val="6573415C"/>
    <w:rsid w:val="659C2E6A"/>
    <w:rsid w:val="66453790"/>
    <w:rsid w:val="66620195"/>
    <w:rsid w:val="66673C0F"/>
    <w:rsid w:val="66731E90"/>
    <w:rsid w:val="6685773F"/>
    <w:rsid w:val="66FC55ED"/>
    <w:rsid w:val="671A2AAE"/>
    <w:rsid w:val="674C37F9"/>
    <w:rsid w:val="678D79A7"/>
    <w:rsid w:val="679342DB"/>
    <w:rsid w:val="67B93084"/>
    <w:rsid w:val="67BB199C"/>
    <w:rsid w:val="67BF6439"/>
    <w:rsid w:val="67DC486D"/>
    <w:rsid w:val="681E72BF"/>
    <w:rsid w:val="685E2D55"/>
    <w:rsid w:val="68684C0A"/>
    <w:rsid w:val="69167501"/>
    <w:rsid w:val="6967039B"/>
    <w:rsid w:val="69857937"/>
    <w:rsid w:val="698A5BCA"/>
    <w:rsid w:val="69985F69"/>
    <w:rsid w:val="69995A05"/>
    <w:rsid w:val="69F844CD"/>
    <w:rsid w:val="6A292945"/>
    <w:rsid w:val="6A4A488F"/>
    <w:rsid w:val="6ABA4326"/>
    <w:rsid w:val="6ACB6A4C"/>
    <w:rsid w:val="6AFC4D71"/>
    <w:rsid w:val="6B541AF3"/>
    <w:rsid w:val="6B707A37"/>
    <w:rsid w:val="6BB06BE0"/>
    <w:rsid w:val="6BBB0E9D"/>
    <w:rsid w:val="6C113F60"/>
    <w:rsid w:val="6C3E68A5"/>
    <w:rsid w:val="6C6475F3"/>
    <w:rsid w:val="6CA71D3C"/>
    <w:rsid w:val="6CDE031D"/>
    <w:rsid w:val="6D254FA9"/>
    <w:rsid w:val="6D29067D"/>
    <w:rsid w:val="6D673814"/>
    <w:rsid w:val="6D9E1598"/>
    <w:rsid w:val="6E080A13"/>
    <w:rsid w:val="6F3D0818"/>
    <w:rsid w:val="6F975E9F"/>
    <w:rsid w:val="6FFE29CE"/>
    <w:rsid w:val="70167AB8"/>
    <w:rsid w:val="70366996"/>
    <w:rsid w:val="70565553"/>
    <w:rsid w:val="70DC534E"/>
    <w:rsid w:val="70F4495C"/>
    <w:rsid w:val="70F73665"/>
    <w:rsid w:val="70FC2E7C"/>
    <w:rsid w:val="719D0918"/>
    <w:rsid w:val="71E10C1A"/>
    <w:rsid w:val="723D69EF"/>
    <w:rsid w:val="727866C0"/>
    <w:rsid w:val="72B53484"/>
    <w:rsid w:val="72DA7709"/>
    <w:rsid w:val="72E41BFF"/>
    <w:rsid w:val="72E70DC2"/>
    <w:rsid w:val="736F727F"/>
    <w:rsid w:val="73A56E44"/>
    <w:rsid w:val="73A72DC1"/>
    <w:rsid w:val="73B85B73"/>
    <w:rsid w:val="742D2A7D"/>
    <w:rsid w:val="744D6942"/>
    <w:rsid w:val="74B44B4A"/>
    <w:rsid w:val="75056BCA"/>
    <w:rsid w:val="75353590"/>
    <w:rsid w:val="759622F7"/>
    <w:rsid w:val="75B23B6B"/>
    <w:rsid w:val="76670B7B"/>
    <w:rsid w:val="76AB26E8"/>
    <w:rsid w:val="770B0A82"/>
    <w:rsid w:val="77106B53"/>
    <w:rsid w:val="771D6320"/>
    <w:rsid w:val="775459CA"/>
    <w:rsid w:val="77A71D85"/>
    <w:rsid w:val="77E717D4"/>
    <w:rsid w:val="77E752B8"/>
    <w:rsid w:val="77EE481B"/>
    <w:rsid w:val="781C23C5"/>
    <w:rsid w:val="7887380A"/>
    <w:rsid w:val="789C1F70"/>
    <w:rsid w:val="78A3791F"/>
    <w:rsid w:val="78BE6A74"/>
    <w:rsid w:val="78CE4E01"/>
    <w:rsid w:val="78DB46E5"/>
    <w:rsid w:val="79122332"/>
    <w:rsid w:val="791E374E"/>
    <w:rsid w:val="791F1764"/>
    <w:rsid w:val="79301F93"/>
    <w:rsid w:val="79C81FFD"/>
    <w:rsid w:val="79FC0252"/>
    <w:rsid w:val="7A093373"/>
    <w:rsid w:val="7A6E45FD"/>
    <w:rsid w:val="7AA3720F"/>
    <w:rsid w:val="7AD30A3B"/>
    <w:rsid w:val="7AD831A1"/>
    <w:rsid w:val="7B6A6EB6"/>
    <w:rsid w:val="7B8F2FE5"/>
    <w:rsid w:val="7B9C2847"/>
    <w:rsid w:val="7BA56A67"/>
    <w:rsid w:val="7C2E5A7B"/>
    <w:rsid w:val="7CE6443D"/>
    <w:rsid w:val="7CF13E70"/>
    <w:rsid w:val="7D146DE8"/>
    <w:rsid w:val="7D63111B"/>
    <w:rsid w:val="7D9F7F47"/>
    <w:rsid w:val="7E483537"/>
    <w:rsid w:val="7E542E09"/>
    <w:rsid w:val="7E6C04DB"/>
    <w:rsid w:val="7ECC44E4"/>
    <w:rsid w:val="7EDB4B58"/>
    <w:rsid w:val="7F660BE3"/>
    <w:rsid w:val="7FA8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4"/>
      <w:szCs w:val="24"/>
      <w:lang w:val="en-US" w:eastAsia="zh-CN" w:bidi="ar-SA"/>
    </w:rPr>
  </w:style>
  <w:style w:type="paragraph" w:styleId="3">
    <w:name w:val="heading 1"/>
    <w:basedOn w:val="1"/>
    <w:next w:val="1"/>
    <w:autoRedefine/>
    <w:qFormat/>
    <w:uiPriority w:val="0"/>
    <w:pPr>
      <w:keepNext/>
      <w:keepLines/>
      <w:numPr>
        <w:ilvl w:val="0"/>
        <w:numId w:val="1"/>
      </w:numPr>
      <w:spacing w:before="220" w:after="90" w:line="360" w:lineRule="auto"/>
      <w:outlineLvl w:val="0"/>
    </w:pPr>
    <w:rPr>
      <w:b/>
      <w:kern w:val="44"/>
      <w:sz w:val="44"/>
    </w:rPr>
  </w:style>
  <w:style w:type="paragraph" w:styleId="4">
    <w:name w:val="heading 2"/>
    <w:basedOn w:val="1"/>
    <w:next w:val="1"/>
    <w:autoRedefine/>
    <w:qFormat/>
    <w:uiPriority w:val="0"/>
    <w:pPr>
      <w:keepNext/>
      <w:keepLines/>
      <w:numPr>
        <w:ilvl w:val="1"/>
        <w:numId w:val="1"/>
      </w:numPr>
      <w:spacing w:before="140" w:after="20" w:line="360" w:lineRule="auto"/>
      <w:ind w:firstLine="0"/>
      <w:outlineLvl w:val="1"/>
    </w:pPr>
    <w:rPr>
      <w:rFonts w:ascii="Arial" w:hAnsi="Arial" w:eastAsia="黑体"/>
      <w:b/>
      <w:sz w:val="32"/>
    </w:rPr>
  </w:style>
  <w:style w:type="paragraph" w:styleId="5">
    <w:name w:val="heading 3"/>
    <w:basedOn w:val="1"/>
    <w:next w:val="1"/>
    <w:link w:val="34"/>
    <w:qFormat/>
    <w:uiPriority w:val="0"/>
    <w:pPr>
      <w:keepNext/>
      <w:keepLines/>
      <w:numPr>
        <w:ilvl w:val="2"/>
        <w:numId w:val="1"/>
      </w:numPr>
      <w:spacing w:before="140" w:after="140" w:line="360" w:lineRule="auto"/>
      <w:ind w:firstLine="0"/>
      <w:outlineLvl w:val="2"/>
    </w:pPr>
    <w:rPr>
      <w:rFonts w:ascii="Times New Roman" w:hAnsi="Times New Roman"/>
      <w:b/>
      <w:kern w:val="0"/>
      <w:sz w:val="32"/>
      <w:szCs w:val="20"/>
      <w:lang w:val="zh-CN" w:eastAsia="zh-CN"/>
    </w:rPr>
  </w:style>
  <w:style w:type="paragraph" w:styleId="6">
    <w:name w:val="heading 4"/>
    <w:basedOn w:val="1"/>
    <w:next w:val="1"/>
    <w:link w:val="35"/>
    <w:autoRedefine/>
    <w:qFormat/>
    <w:uiPriority w:val="0"/>
    <w:pPr>
      <w:keepNext/>
      <w:keepLines/>
      <w:numPr>
        <w:ilvl w:val="3"/>
        <w:numId w:val="2"/>
      </w:numPr>
      <w:spacing w:before="40" w:after="40" w:line="360" w:lineRule="auto"/>
      <w:ind w:firstLine="0"/>
      <w:outlineLvl w:val="3"/>
    </w:pPr>
    <w:rPr>
      <w:rFonts w:ascii="Arial" w:hAnsi="Arial"/>
      <w:kern w:val="0"/>
      <w:szCs w:val="20"/>
      <w:lang w:val="zh-CN" w:eastAsia="zh-CN"/>
    </w:rPr>
  </w:style>
  <w:style w:type="paragraph" w:styleId="7">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rPr>
      <w:rFonts w:ascii="Calibri" w:hAnsi="Calibri"/>
      <w:szCs w:val="22"/>
    </w:rPr>
  </w:style>
  <w:style w:type="paragraph" w:styleId="8">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9">
    <w:name w:val="Normal Indent"/>
    <w:basedOn w:val="1"/>
    <w:autoRedefine/>
    <w:qFormat/>
    <w:uiPriority w:val="99"/>
    <w:pPr>
      <w:widowControl/>
      <w:autoSpaceDE w:val="0"/>
      <w:autoSpaceDN w:val="0"/>
      <w:adjustRightInd w:val="0"/>
      <w:spacing w:before="100" w:after="50" w:line="360" w:lineRule="auto"/>
      <w:ind w:firstLine="420" w:firstLineChars="200"/>
      <w:jc w:val="left"/>
    </w:pPr>
    <w:rPr>
      <w:rFonts w:ascii="CG Times" w:hAnsi="CG Times"/>
      <w:kern w:val="0"/>
    </w:rPr>
  </w:style>
  <w:style w:type="paragraph" w:styleId="10">
    <w:name w:val="Body Text"/>
    <w:basedOn w:val="1"/>
    <w:next w:val="11"/>
    <w:autoRedefine/>
    <w:unhideWhenUsed/>
    <w:qFormat/>
    <w:uiPriority w:val="99"/>
    <w:pPr>
      <w:spacing w:after="120"/>
    </w:pPr>
  </w:style>
  <w:style w:type="paragraph" w:customStyle="1" w:styleId="11">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12">
    <w:name w:val="Body Text Indent"/>
    <w:basedOn w:val="1"/>
    <w:next w:val="1"/>
    <w:autoRedefine/>
    <w:qFormat/>
    <w:uiPriority w:val="0"/>
    <w:pPr>
      <w:ind w:firstLine="538" w:firstLineChars="192"/>
    </w:pPr>
    <w:rPr>
      <w:sz w:val="28"/>
    </w:rPr>
  </w:style>
  <w:style w:type="paragraph" w:styleId="13">
    <w:name w:val="Block Text"/>
    <w:basedOn w:val="1"/>
    <w:autoRedefine/>
    <w:qFormat/>
    <w:uiPriority w:val="0"/>
    <w:pPr>
      <w:spacing w:after="120"/>
      <w:ind w:leftChars="700" w:rightChars="700"/>
    </w:pPr>
  </w:style>
  <w:style w:type="paragraph" w:styleId="14">
    <w:name w:val="toc 3"/>
    <w:basedOn w:val="1"/>
    <w:next w:val="1"/>
    <w:qFormat/>
    <w:uiPriority w:val="0"/>
    <w:pPr>
      <w:ind w:left="840" w:leftChars="400"/>
    </w:pPr>
  </w:style>
  <w:style w:type="paragraph" w:styleId="15">
    <w:name w:val="Plain Text"/>
    <w:basedOn w:val="1"/>
    <w:autoRedefine/>
    <w:unhideWhenUsed/>
    <w:qFormat/>
    <w:uiPriority w:val="0"/>
    <w:rPr>
      <w:rFonts w:hint="eastAsia" w:ascii="宋体" w:hAnsi="Courier New"/>
      <w:sz w:val="20"/>
    </w:rPr>
  </w:style>
  <w:style w:type="paragraph" w:styleId="16">
    <w:name w:val="footer"/>
    <w:basedOn w:val="1"/>
    <w:autoRedefine/>
    <w:qFormat/>
    <w:uiPriority w:val="0"/>
    <w:pPr>
      <w:tabs>
        <w:tab w:val="center" w:pos="4153"/>
        <w:tab w:val="right" w:pos="8306"/>
      </w:tabs>
      <w:snapToGrid w:val="0"/>
      <w:jc w:val="left"/>
    </w:pPr>
    <w:rPr>
      <w:sz w:val="18"/>
    </w:rPr>
  </w:style>
  <w:style w:type="paragraph" w:styleId="1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autoRedefine/>
    <w:qFormat/>
    <w:uiPriority w:val="0"/>
  </w:style>
  <w:style w:type="paragraph" w:styleId="19">
    <w:name w:val="toc 2"/>
    <w:basedOn w:val="1"/>
    <w:next w:val="1"/>
    <w:autoRedefine/>
    <w:unhideWhenUsed/>
    <w:qFormat/>
    <w:uiPriority w:val="39"/>
    <w:pPr>
      <w:ind w:left="420" w:leftChars="200"/>
    </w:pPr>
  </w:style>
  <w:style w:type="paragraph" w:styleId="2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1">
    <w:name w:val="Normal (Web)"/>
    <w:basedOn w:val="1"/>
    <w:autoRedefine/>
    <w:qFormat/>
    <w:uiPriority w:val="0"/>
    <w:pPr>
      <w:jc w:val="left"/>
    </w:pPr>
    <w:rPr>
      <w:kern w:val="0"/>
    </w:rPr>
  </w:style>
  <w:style w:type="paragraph" w:styleId="22">
    <w:name w:val="Body Text First Indent"/>
    <w:basedOn w:val="10"/>
    <w:next w:val="10"/>
    <w:qFormat/>
    <w:uiPriority w:val="0"/>
    <w:pPr>
      <w:widowControl/>
      <w:tabs>
        <w:tab w:val="left" w:pos="0"/>
      </w:tabs>
      <w:spacing w:after="156"/>
      <w:ind w:left="425"/>
      <w:jc w:val="left"/>
    </w:pPr>
    <w:rPr>
      <w:sz w:val="28"/>
      <w:szCs w:val="28"/>
    </w:rPr>
  </w:style>
  <w:style w:type="paragraph" w:styleId="23">
    <w:name w:val="Body Text First Indent 2"/>
    <w:basedOn w:val="12"/>
    <w:next w:val="22"/>
    <w:qFormat/>
    <w:uiPriority w:val="0"/>
    <w:pPr>
      <w:ind w:firstLine="420" w:firstLineChars="200"/>
    </w:pPr>
    <w:rPr>
      <w:rFonts w:ascii="Times New Roman" w:hAnsi="Times New Roman"/>
    </w:rPr>
  </w:style>
  <w:style w:type="table" w:styleId="25">
    <w:name w:val="Table Grid"/>
    <w:basedOn w:val="2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uiPriority w:val="0"/>
    <w:rPr>
      <w:b/>
    </w:rPr>
  </w:style>
  <w:style w:type="character" w:styleId="28">
    <w:name w:val="FollowedHyperlink"/>
    <w:basedOn w:val="26"/>
    <w:autoRedefine/>
    <w:semiHidden/>
    <w:unhideWhenUsed/>
    <w:qFormat/>
    <w:uiPriority w:val="99"/>
    <w:rPr>
      <w:color w:val="800080"/>
      <w:u w:val="single"/>
    </w:rPr>
  </w:style>
  <w:style w:type="character" w:styleId="29">
    <w:name w:val="Emphasis"/>
    <w:basedOn w:val="26"/>
    <w:autoRedefine/>
    <w:qFormat/>
    <w:uiPriority w:val="0"/>
  </w:style>
  <w:style w:type="character" w:styleId="30">
    <w:name w:val="HTML Definition"/>
    <w:basedOn w:val="26"/>
    <w:autoRedefine/>
    <w:qFormat/>
    <w:uiPriority w:val="0"/>
    <w:rPr>
      <w:i/>
    </w:rPr>
  </w:style>
  <w:style w:type="character" w:styleId="31">
    <w:name w:val="Hyperlink"/>
    <w:basedOn w:val="26"/>
    <w:autoRedefine/>
    <w:qFormat/>
    <w:uiPriority w:val="99"/>
    <w:rPr>
      <w:rFonts w:cs="Times New Roman"/>
      <w:color w:val="0000FF"/>
      <w:u w:val="single"/>
    </w:rPr>
  </w:style>
  <w:style w:type="character" w:styleId="32">
    <w:name w:val="HTML Code"/>
    <w:basedOn w:val="26"/>
    <w:autoRedefine/>
    <w:qFormat/>
    <w:uiPriority w:val="0"/>
    <w:rPr>
      <w:rFonts w:ascii="Courier New" w:hAnsi="Courier New"/>
      <w:sz w:val="20"/>
    </w:rPr>
  </w:style>
  <w:style w:type="character" w:styleId="33">
    <w:name w:val="HTML Cite"/>
    <w:basedOn w:val="26"/>
    <w:autoRedefine/>
    <w:qFormat/>
    <w:uiPriority w:val="0"/>
  </w:style>
  <w:style w:type="character" w:customStyle="1" w:styleId="34">
    <w:name w:val="标题 3 Char"/>
    <w:link w:val="5"/>
    <w:qFormat/>
    <w:uiPriority w:val="0"/>
    <w:rPr>
      <w:b/>
      <w:sz w:val="32"/>
    </w:rPr>
  </w:style>
  <w:style w:type="character" w:customStyle="1" w:styleId="35">
    <w:name w:val="标题 4 Char"/>
    <w:link w:val="6"/>
    <w:qFormat/>
    <w:uiPriority w:val="0"/>
    <w:rPr>
      <w:rFonts w:ascii="Arial" w:hAnsi="Arial" w:eastAsia="宋体"/>
      <w:sz w:val="24"/>
    </w:rPr>
  </w:style>
  <w:style w:type="paragraph" w:customStyle="1" w:styleId="36">
    <w:name w:val="目录 11"/>
    <w:basedOn w:val="1"/>
    <w:next w:val="1"/>
    <w:qFormat/>
    <w:uiPriority w:val="0"/>
  </w:style>
  <w:style w:type="paragraph" w:customStyle="1" w:styleId="37">
    <w:name w:val="目录 21"/>
    <w:basedOn w:val="1"/>
    <w:next w:val="1"/>
    <w:unhideWhenUsed/>
    <w:qFormat/>
    <w:uiPriority w:val="39"/>
    <w:pPr>
      <w:ind w:left="210"/>
    </w:pPr>
    <w:rPr>
      <w:smallCaps/>
    </w:rPr>
  </w:style>
  <w:style w:type="character" w:customStyle="1" w:styleId="38">
    <w:name w:val="已访问的超链接1"/>
    <w:basedOn w:val="26"/>
    <w:qFormat/>
    <w:uiPriority w:val="0"/>
    <w:rPr>
      <w:color w:val="333333"/>
      <w:u w:val="none"/>
    </w:rPr>
  </w:style>
  <w:style w:type="character" w:customStyle="1" w:styleId="39">
    <w:name w:val="标题 #1_"/>
    <w:basedOn w:val="26"/>
    <w:link w:val="40"/>
    <w:unhideWhenUsed/>
    <w:qFormat/>
    <w:uiPriority w:val="99"/>
    <w:rPr>
      <w:rFonts w:hint="eastAsia" w:ascii="MingLiU" w:hAnsi="MingLiU" w:eastAsia="MingLiU"/>
      <w:b/>
      <w:sz w:val="42"/>
      <w:lang w:val="zh-CN" w:eastAsia="zh-CN"/>
    </w:rPr>
  </w:style>
  <w:style w:type="paragraph" w:customStyle="1" w:styleId="40">
    <w:name w:val="标题 #1"/>
    <w:basedOn w:val="1"/>
    <w:link w:val="39"/>
    <w:unhideWhenUsed/>
    <w:qFormat/>
    <w:uiPriority w:val="99"/>
    <w:pPr>
      <w:shd w:val="clear" w:color="auto" w:fill="FFFFFF"/>
      <w:spacing w:before="40" w:after="820"/>
      <w:jc w:val="center"/>
      <w:outlineLvl w:val="0"/>
    </w:pPr>
    <w:rPr>
      <w:rFonts w:hint="eastAsia" w:ascii="MingLiU" w:hAnsi="MingLiU" w:eastAsia="MingLiU"/>
      <w:b/>
      <w:sz w:val="42"/>
      <w:lang w:val="zh-CN"/>
    </w:rPr>
  </w:style>
  <w:style w:type="character" w:customStyle="1" w:styleId="41">
    <w:name w:val="font11"/>
    <w:basedOn w:val="26"/>
    <w:qFormat/>
    <w:uiPriority w:val="0"/>
    <w:rPr>
      <w:rFonts w:hint="eastAsia" w:ascii="宋体" w:hAnsi="宋体" w:eastAsia="宋体" w:cs="宋体"/>
      <w:color w:val="000000"/>
      <w:sz w:val="22"/>
      <w:szCs w:val="22"/>
      <w:u w:val="none"/>
    </w:rPr>
  </w:style>
  <w:style w:type="character" w:customStyle="1" w:styleId="42">
    <w:name w:val="正文文本 (5)_"/>
    <w:basedOn w:val="26"/>
    <w:link w:val="43"/>
    <w:unhideWhenUsed/>
    <w:qFormat/>
    <w:uiPriority w:val="99"/>
    <w:rPr>
      <w:rFonts w:hint="eastAsia" w:ascii="Times New Roman" w:hAnsi="Times New Roman" w:eastAsia="Times New Roman"/>
      <w:sz w:val="28"/>
      <w:lang w:val="zh-CN" w:eastAsia="zh-CN"/>
    </w:rPr>
  </w:style>
  <w:style w:type="paragraph" w:customStyle="1" w:styleId="43">
    <w:name w:val="正文文本 (5)"/>
    <w:basedOn w:val="1"/>
    <w:link w:val="42"/>
    <w:unhideWhenUsed/>
    <w:qFormat/>
    <w:uiPriority w:val="99"/>
    <w:pPr>
      <w:shd w:val="clear" w:color="auto" w:fill="FFFFFF"/>
      <w:spacing w:after="120"/>
      <w:ind w:firstLine="140"/>
    </w:pPr>
    <w:rPr>
      <w:rFonts w:hint="eastAsia" w:ascii="Times New Roman" w:hAnsi="Times New Roman" w:eastAsia="Times New Roman"/>
      <w:sz w:val="28"/>
      <w:lang w:val="zh-CN"/>
    </w:rPr>
  </w:style>
  <w:style w:type="character" w:customStyle="1" w:styleId="44">
    <w:name w:val="正文文本 (4)_"/>
    <w:basedOn w:val="26"/>
    <w:link w:val="45"/>
    <w:unhideWhenUsed/>
    <w:qFormat/>
    <w:uiPriority w:val="99"/>
    <w:rPr>
      <w:rFonts w:hint="eastAsia" w:ascii="Times New Roman" w:hAnsi="Times New Roman" w:eastAsia="Times New Roman"/>
      <w:sz w:val="20"/>
      <w:lang w:val="zh-CN" w:eastAsia="zh-CN"/>
    </w:rPr>
  </w:style>
  <w:style w:type="paragraph" w:customStyle="1" w:styleId="45">
    <w:name w:val="正文文本 (4)"/>
    <w:basedOn w:val="1"/>
    <w:link w:val="44"/>
    <w:unhideWhenUsed/>
    <w:qFormat/>
    <w:uiPriority w:val="99"/>
    <w:pPr>
      <w:shd w:val="clear" w:color="auto" w:fill="FFFFFF"/>
      <w:spacing w:line="398" w:lineRule="auto"/>
      <w:ind w:firstLine="440"/>
    </w:pPr>
    <w:rPr>
      <w:rFonts w:hint="eastAsia" w:ascii="Times New Roman" w:hAnsi="Times New Roman" w:eastAsia="Times New Roman"/>
      <w:sz w:val="20"/>
      <w:lang w:val="zh-CN"/>
    </w:rPr>
  </w:style>
  <w:style w:type="character" w:customStyle="1" w:styleId="46">
    <w:name w:val="正文文本 (6)_"/>
    <w:basedOn w:val="26"/>
    <w:link w:val="47"/>
    <w:unhideWhenUsed/>
    <w:qFormat/>
    <w:uiPriority w:val="99"/>
    <w:rPr>
      <w:rFonts w:hint="eastAsia" w:ascii="MingLiU" w:hAnsi="MingLiU" w:eastAsia="MingLiU"/>
      <w:sz w:val="26"/>
      <w:lang w:val="zh-CN" w:eastAsia="zh-CN"/>
    </w:rPr>
  </w:style>
  <w:style w:type="paragraph" w:customStyle="1" w:styleId="47">
    <w:name w:val="正文文本 (6)"/>
    <w:basedOn w:val="1"/>
    <w:link w:val="46"/>
    <w:unhideWhenUsed/>
    <w:qFormat/>
    <w:uiPriority w:val="99"/>
    <w:pPr>
      <w:shd w:val="clear" w:color="auto" w:fill="FFFFFF"/>
      <w:spacing w:after="120"/>
      <w:ind w:firstLine="140"/>
    </w:pPr>
    <w:rPr>
      <w:rFonts w:hint="eastAsia" w:ascii="MingLiU" w:hAnsi="MingLiU" w:eastAsia="MingLiU"/>
      <w:sz w:val="26"/>
      <w:lang w:val="zh-CN"/>
    </w:rPr>
  </w:style>
  <w:style w:type="character" w:customStyle="1" w:styleId="48">
    <w:name w:val="标题 #2_"/>
    <w:basedOn w:val="26"/>
    <w:link w:val="49"/>
    <w:unhideWhenUsed/>
    <w:qFormat/>
    <w:uiPriority w:val="99"/>
    <w:rPr>
      <w:rFonts w:hint="eastAsia" w:ascii="MingLiU" w:hAnsi="MingLiU" w:eastAsia="MingLiU"/>
      <w:b/>
      <w:sz w:val="32"/>
      <w:lang w:val="zh-CN" w:eastAsia="zh-CN"/>
    </w:rPr>
  </w:style>
  <w:style w:type="paragraph" w:customStyle="1" w:styleId="49">
    <w:name w:val="标题 #2"/>
    <w:basedOn w:val="1"/>
    <w:link w:val="48"/>
    <w:unhideWhenUsed/>
    <w:qFormat/>
    <w:uiPriority w:val="99"/>
    <w:pPr>
      <w:shd w:val="clear" w:color="auto" w:fill="FFFFFF"/>
      <w:spacing w:after="260"/>
      <w:outlineLvl w:val="1"/>
    </w:pPr>
    <w:rPr>
      <w:rFonts w:hint="eastAsia" w:ascii="MingLiU" w:hAnsi="MingLiU" w:eastAsia="MingLiU"/>
      <w:b/>
      <w:sz w:val="32"/>
      <w:lang w:val="zh-CN"/>
    </w:rPr>
  </w:style>
  <w:style w:type="character" w:customStyle="1" w:styleId="50">
    <w:name w:val="font61"/>
    <w:basedOn w:val="26"/>
    <w:qFormat/>
    <w:uiPriority w:val="0"/>
    <w:rPr>
      <w:rFonts w:hint="default" w:ascii="Calibri" w:hAnsi="Calibri" w:cs="Calibri"/>
      <w:color w:val="000000"/>
      <w:sz w:val="22"/>
      <w:szCs w:val="22"/>
      <w:u w:val="none"/>
    </w:rPr>
  </w:style>
  <w:style w:type="character" w:customStyle="1" w:styleId="51">
    <w:name w:val="目录_"/>
    <w:basedOn w:val="26"/>
    <w:link w:val="52"/>
    <w:autoRedefine/>
    <w:unhideWhenUsed/>
    <w:qFormat/>
    <w:uiPriority w:val="99"/>
    <w:rPr>
      <w:rFonts w:hint="eastAsia" w:ascii="MingLiU" w:hAnsi="MingLiU" w:eastAsia="MingLiU"/>
      <w:sz w:val="20"/>
      <w:lang w:val="zh-CN" w:eastAsia="zh-CN"/>
    </w:rPr>
  </w:style>
  <w:style w:type="paragraph" w:customStyle="1" w:styleId="52">
    <w:name w:val="目录"/>
    <w:basedOn w:val="1"/>
    <w:link w:val="51"/>
    <w:unhideWhenUsed/>
    <w:qFormat/>
    <w:uiPriority w:val="99"/>
    <w:pPr>
      <w:shd w:val="clear" w:color="auto" w:fill="FFFFFF"/>
      <w:ind w:firstLine="840"/>
    </w:pPr>
    <w:rPr>
      <w:rFonts w:hint="eastAsia" w:ascii="MingLiU" w:hAnsi="MingLiU" w:eastAsia="MingLiU"/>
      <w:sz w:val="20"/>
      <w:lang w:val="zh-CN"/>
    </w:rPr>
  </w:style>
  <w:style w:type="character" w:customStyle="1" w:styleId="53">
    <w:name w:val="正文文本 (8)_"/>
    <w:basedOn w:val="26"/>
    <w:link w:val="54"/>
    <w:unhideWhenUsed/>
    <w:qFormat/>
    <w:uiPriority w:val="99"/>
    <w:rPr>
      <w:rFonts w:hint="eastAsia" w:ascii="MingLiU" w:hAnsi="MingLiU" w:eastAsia="MingLiU"/>
      <w:b/>
      <w:sz w:val="42"/>
      <w:lang w:val="zh-CN" w:eastAsia="zh-CN"/>
    </w:rPr>
  </w:style>
  <w:style w:type="paragraph" w:customStyle="1" w:styleId="54">
    <w:name w:val="正文文本 (8)"/>
    <w:basedOn w:val="1"/>
    <w:link w:val="53"/>
    <w:unhideWhenUsed/>
    <w:qFormat/>
    <w:uiPriority w:val="99"/>
    <w:pPr>
      <w:shd w:val="clear" w:color="auto" w:fill="FFFFFF"/>
      <w:jc w:val="center"/>
    </w:pPr>
    <w:rPr>
      <w:rFonts w:hint="eastAsia" w:ascii="MingLiU" w:hAnsi="MingLiU" w:eastAsia="MingLiU"/>
      <w:b/>
      <w:sz w:val="42"/>
      <w:lang w:val="zh-CN"/>
    </w:rPr>
  </w:style>
  <w:style w:type="character" w:customStyle="1" w:styleId="55">
    <w:name w:val="标题 #3_"/>
    <w:basedOn w:val="26"/>
    <w:link w:val="56"/>
    <w:unhideWhenUsed/>
    <w:qFormat/>
    <w:uiPriority w:val="99"/>
    <w:rPr>
      <w:rFonts w:hint="eastAsia" w:ascii="MingLiU" w:hAnsi="MingLiU" w:eastAsia="MingLiU"/>
      <w:sz w:val="26"/>
      <w:lang w:val="zh-CN" w:eastAsia="zh-CN"/>
    </w:rPr>
  </w:style>
  <w:style w:type="paragraph" w:customStyle="1" w:styleId="56">
    <w:name w:val="标题 #3"/>
    <w:basedOn w:val="1"/>
    <w:link w:val="55"/>
    <w:unhideWhenUsed/>
    <w:qFormat/>
    <w:uiPriority w:val="99"/>
    <w:pPr>
      <w:shd w:val="clear" w:color="auto" w:fill="FFFFFF"/>
      <w:spacing w:after="240"/>
      <w:ind w:firstLine="160"/>
      <w:outlineLvl w:val="2"/>
    </w:pPr>
    <w:rPr>
      <w:rFonts w:hint="eastAsia" w:ascii="MingLiU" w:hAnsi="MingLiU" w:eastAsia="MingLiU"/>
      <w:sz w:val="26"/>
      <w:lang w:val="zh-CN"/>
    </w:rPr>
  </w:style>
  <w:style w:type="character" w:customStyle="1" w:styleId="57">
    <w:name w:val="表格标题_"/>
    <w:basedOn w:val="26"/>
    <w:link w:val="58"/>
    <w:unhideWhenUsed/>
    <w:qFormat/>
    <w:uiPriority w:val="99"/>
    <w:rPr>
      <w:rFonts w:hint="eastAsia" w:ascii="MingLiU" w:hAnsi="MingLiU" w:eastAsia="MingLiU"/>
      <w:sz w:val="20"/>
      <w:lang w:val="zh-CN" w:eastAsia="zh-CN"/>
    </w:rPr>
  </w:style>
  <w:style w:type="paragraph" w:customStyle="1" w:styleId="58">
    <w:name w:val="表格标题"/>
    <w:basedOn w:val="1"/>
    <w:link w:val="57"/>
    <w:unhideWhenUsed/>
    <w:qFormat/>
    <w:uiPriority w:val="99"/>
    <w:pPr>
      <w:shd w:val="clear" w:color="auto" w:fill="FFFFFF"/>
    </w:pPr>
    <w:rPr>
      <w:rFonts w:hint="eastAsia" w:ascii="MingLiU" w:hAnsi="MingLiU" w:eastAsia="MingLiU"/>
      <w:sz w:val="20"/>
      <w:lang w:val="zh-CN"/>
    </w:rPr>
  </w:style>
  <w:style w:type="character" w:customStyle="1" w:styleId="59">
    <w:name w:val="正文文本 (7)_"/>
    <w:basedOn w:val="26"/>
    <w:link w:val="60"/>
    <w:unhideWhenUsed/>
    <w:qFormat/>
    <w:uiPriority w:val="99"/>
    <w:rPr>
      <w:rFonts w:hint="eastAsia" w:ascii="MingLiU" w:hAnsi="MingLiU" w:eastAsia="MingLiU"/>
      <w:b/>
      <w:sz w:val="32"/>
      <w:lang w:val="zh-CN" w:eastAsia="zh-CN"/>
    </w:rPr>
  </w:style>
  <w:style w:type="paragraph" w:customStyle="1" w:styleId="60">
    <w:name w:val="正文文本 (7)"/>
    <w:basedOn w:val="1"/>
    <w:link w:val="59"/>
    <w:autoRedefine/>
    <w:unhideWhenUsed/>
    <w:qFormat/>
    <w:uiPriority w:val="99"/>
    <w:pPr>
      <w:shd w:val="clear" w:color="auto" w:fill="FFFFFF"/>
      <w:jc w:val="center"/>
    </w:pPr>
    <w:rPr>
      <w:rFonts w:hint="eastAsia" w:ascii="MingLiU" w:hAnsi="MingLiU" w:eastAsia="MingLiU"/>
      <w:b/>
      <w:sz w:val="32"/>
      <w:lang w:val="zh-CN"/>
    </w:rPr>
  </w:style>
  <w:style w:type="character" w:customStyle="1" w:styleId="61">
    <w:name w:val="font31"/>
    <w:basedOn w:val="26"/>
    <w:qFormat/>
    <w:uiPriority w:val="0"/>
    <w:rPr>
      <w:rFonts w:ascii="Calibri" w:hAnsi="Calibri" w:cs="Calibri"/>
      <w:color w:val="000000"/>
      <w:sz w:val="22"/>
      <w:szCs w:val="22"/>
      <w:u w:val="none"/>
    </w:rPr>
  </w:style>
  <w:style w:type="character" w:customStyle="1" w:styleId="62">
    <w:name w:val="其他_"/>
    <w:basedOn w:val="26"/>
    <w:link w:val="63"/>
    <w:unhideWhenUsed/>
    <w:qFormat/>
    <w:uiPriority w:val="99"/>
    <w:rPr>
      <w:rFonts w:hint="eastAsia" w:ascii="MingLiU" w:hAnsi="MingLiU" w:eastAsia="MingLiU"/>
      <w:sz w:val="20"/>
      <w:lang w:val="zh-CN" w:eastAsia="zh-CN"/>
    </w:rPr>
  </w:style>
  <w:style w:type="paragraph" w:customStyle="1" w:styleId="63">
    <w:name w:val="其他"/>
    <w:basedOn w:val="1"/>
    <w:link w:val="62"/>
    <w:unhideWhenUsed/>
    <w:qFormat/>
    <w:uiPriority w:val="99"/>
    <w:pPr>
      <w:shd w:val="clear" w:color="auto" w:fill="FFFFFF"/>
      <w:spacing w:line="398" w:lineRule="auto"/>
      <w:ind w:firstLine="400"/>
    </w:pPr>
    <w:rPr>
      <w:rFonts w:hint="eastAsia" w:ascii="MingLiU" w:hAnsi="MingLiU" w:eastAsia="MingLiU"/>
      <w:sz w:val="20"/>
      <w:lang w:val="zh-CN"/>
    </w:rPr>
  </w:style>
  <w:style w:type="character" w:customStyle="1" w:styleId="64">
    <w:name w:val="正文文本_"/>
    <w:basedOn w:val="26"/>
    <w:link w:val="65"/>
    <w:autoRedefine/>
    <w:unhideWhenUsed/>
    <w:qFormat/>
    <w:uiPriority w:val="99"/>
    <w:rPr>
      <w:rFonts w:hint="eastAsia" w:ascii="MingLiU" w:hAnsi="MingLiU" w:eastAsia="MingLiU"/>
      <w:sz w:val="20"/>
      <w:lang w:val="zh-CN" w:eastAsia="zh-CN"/>
    </w:rPr>
  </w:style>
  <w:style w:type="paragraph" w:customStyle="1" w:styleId="65">
    <w:name w:val="正文文本1"/>
    <w:basedOn w:val="1"/>
    <w:link w:val="64"/>
    <w:autoRedefine/>
    <w:unhideWhenUsed/>
    <w:qFormat/>
    <w:uiPriority w:val="99"/>
    <w:pPr>
      <w:shd w:val="clear" w:color="auto" w:fill="FFFFFF"/>
      <w:spacing w:line="398" w:lineRule="auto"/>
      <w:ind w:firstLine="400"/>
    </w:pPr>
    <w:rPr>
      <w:rFonts w:hint="eastAsia" w:ascii="MingLiU" w:hAnsi="MingLiU" w:eastAsia="MingLiU"/>
      <w:sz w:val="20"/>
      <w:lang w:val="zh-CN"/>
    </w:rPr>
  </w:style>
  <w:style w:type="paragraph" w:customStyle="1" w:styleId="66">
    <w:name w:val="列出段落"/>
    <w:basedOn w:val="1"/>
    <w:autoRedefine/>
    <w:qFormat/>
    <w:uiPriority w:val="1"/>
    <w:pPr>
      <w:spacing w:before="119"/>
      <w:ind w:left="542" w:firstLine="439"/>
    </w:pPr>
    <w:rPr>
      <w:rFonts w:ascii="宋体" w:hAnsi="宋体" w:cs="宋体"/>
      <w:lang w:val="zh-CN" w:bidi="zh-CN"/>
    </w:rPr>
  </w:style>
  <w:style w:type="paragraph" w:customStyle="1" w:styleId="67">
    <w:name w:val="Table Paragraph"/>
    <w:basedOn w:val="1"/>
    <w:unhideWhenUsed/>
    <w:qFormat/>
    <w:uiPriority w:val="1"/>
    <w:pPr>
      <w:autoSpaceDE w:val="0"/>
      <w:autoSpaceDN w:val="0"/>
    </w:pPr>
    <w:rPr>
      <w:rFonts w:hint="eastAsia" w:ascii="宋体" w:hAnsi="宋体"/>
      <w:sz w:val="22"/>
      <w:lang w:val="zh-CN"/>
    </w:rPr>
  </w:style>
  <w:style w:type="paragraph" w:customStyle="1" w:styleId="68">
    <w:name w:val="WPSOffice手动目录 1"/>
    <w:autoRedefine/>
    <w:qFormat/>
    <w:uiPriority w:val="0"/>
    <w:rPr>
      <w:rFonts w:ascii="Calibri" w:hAnsi="Calibri" w:eastAsia="宋体" w:cs="Times New Roman"/>
      <w:lang w:val="en-US" w:eastAsia="zh-CN" w:bidi="ar-SA"/>
    </w:rPr>
  </w:style>
  <w:style w:type="paragraph" w:customStyle="1" w:styleId="69">
    <w:name w:val="WPSOffice手动目录 3"/>
    <w:qFormat/>
    <w:uiPriority w:val="0"/>
    <w:pPr>
      <w:ind w:leftChars="400"/>
    </w:pPr>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Chars="200"/>
    </w:pPr>
    <w:rPr>
      <w:rFonts w:ascii="Calibri" w:hAnsi="Calibri" w:eastAsia="宋体" w:cs="Times New Roman"/>
      <w:lang w:val="en-US" w:eastAsia="zh-CN" w:bidi="ar-SA"/>
    </w:rPr>
  </w:style>
  <w:style w:type="paragraph" w:customStyle="1" w:styleId="71">
    <w:name w:val="List Paragraph"/>
    <w:basedOn w:val="1"/>
    <w:autoRedefine/>
    <w:qFormat/>
    <w:uiPriority w:val="34"/>
    <w:pPr>
      <w:widowControl w:val="0"/>
      <w:ind w:firstLine="420" w:firstLineChars="200"/>
      <w:jc w:val="both"/>
    </w:pPr>
    <w:rPr>
      <w:rFonts w:ascii="Calibri" w:hAnsi="Calibri"/>
      <w:kern w:val="2"/>
      <w:sz w:val="21"/>
      <w:szCs w:val="22"/>
    </w:rPr>
  </w:style>
  <w:style w:type="paragraph" w:customStyle="1" w:styleId="7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37;&#20316;&#26381;4.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5e6bdb27-8604-4607-b64f-969421100a52</errorID>
      <errorWord>，</errorWord>
      <group>L1_Word</group>
      <groupName>字词问题</groupName>
      <ability>L2_Typo</ability>
      <abilityName>字词错误</abilityName>
      <candidateList>
        <item>，在</item>
      </candidateList>
      <explain/>
      <paraID>67FF450C</paraID>
      <start>89</start>
      <end>90</end>
      <status>ignored</status>
      <modifiedWord/>
      <trackRevisions>false</trackRevisions>
    </reviewItem>
    <reviewItem>
      <errorID>dd4b0a1d-2eea-45ca-84b4-5b23ba607f79</errorID>
      <errorWord>（</errorWord>
      <group>L1_Punc</group>
      <groupName>标点问题</groupName>
      <ability>L2_Punc_CN</ability>
      <abilityName>标点符号问题</abilityName>
      <candidateList/>
      <explain>同一形式括号套用。</explain>
      <paraID>7F6BEB18</paraID>
      <start>139</start>
      <end>140</end>
      <status>ignored</status>
      <modifiedWord/>
      <trackRevisions>false</trackRevisions>
    </reviewItem>
    <reviewItem>
      <errorID>5b61d3ac-5c38-4c5b-aa4a-5e1cb4c15942</errorID>
      <errorWord>）</errorWord>
      <group>L1_Punc</group>
      <groupName>标点问题</groupName>
      <ability>L2_Punc_CN</ability>
      <abilityName>标点符号问题</abilityName>
      <candidateList/>
      <explain>同一形式括号套用。</explain>
      <paraID>7F6BEB18</paraID>
      <start>145</start>
      <end>146</end>
      <status>ignored</status>
      <modifiedWord/>
      <trackRevisions>false</trackRevisions>
    </reviewItem>
    <reviewItem>
      <errorID>900314c1-0010-4efe-a99d-143118bb1bf8</errorID>
      <errorWord>30前完成</errorWord>
      <group>L1_Word</group>
      <groupName>字词问题</groupName>
      <ability>L2_Typo</ability>
      <abilityName>字词错误</abilityName>
      <candidateList>
        <item>30日前完成</item>
      </candidateList>
      <explain/>
      <paraID>62057E12</paraID>
      <start>24</start>
      <end>29</end>
      <status>ignored</status>
      <modifiedWord/>
      <trackRevisions>false</trackRevisions>
    </reviewItem>
    <reviewItem>
      <errorID>6adacc09-848b-4bed-a327-d305ca3d7b76</errorID>
      <errorWord>，</errorWord>
      <group>L1_Word</group>
      <groupName>字词问题</groupName>
      <ability>L2_Typo</ability>
      <abilityName>字词错误</abilityName>
      <candidateList>
        <item>，在</item>
      </candidateList>
      <explain/>
      <paraID>2BF9AD23</paraID>
      <start>47</start>
      <end>48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d0ba3c-17d6-441a-9247-2dc53255f7c9}">
  <ds:schemaRefs/>
</ds:datastoreItem>
</file>

<file path=docProps/app.xml><?xml version="1.0" encoding="utf-8"?>
<Properties xmlns="http://schemas.openxmlformats.org/officeDocument/2006/extended-properties" xmlns:vt="http://schemas.openxmlformats.org/officeDocument/2006/docPropsVTypes">
  <Template>工作服4.12.doc</Template>
  <Company>HP</Company>
  <Pages>23</Pages>
  <Words>9313</Words>
  <Characters>9961</Characters>
  <Lines>340</Lines>
  <Paragraphs>95</Paragraphs>
  <TotalTime>0</TotalTime>
  <ScaleCrop>false</ScaleCrop>
  <LinksUpToDate>false</LinksUpToDate>
  <CharactersWithSpaces>10471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2021-04-27T09:26:00Z</dcterms:created>
  <dc:creator>Administrator</dc:creator>
  <cp:lastModifiedBy>Administrator</cp:lastModifiedBy>
  <cp:lastPrinted>2026-07-13T08:49:00Z</cp:lastPrinted>
  <dcterms:modified xsi:type="dcterms:W3CDTF">2026-07-17T08:48:05Z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A172C6A3585644848FD9438894DF4056</vt:lpwstr>
  </property>
  <property fmtid="{D5CDD505-2E9C-101B-9397-08002B2CF9AE}" pid="4" name="commondata">
    <vt:lpwstr>eyJoZGlkIjoiZDE1OGRmZTUwYzBiYTFjYzc3MjA3MjhlMzQ4YzFjODcifQ==</vt:lpwstr>
  </property>
  <property fmtid="{D5CDD505-2E9C-101B-9397-08002B2CF9AE}" pid="5" name="KSOTemplateDocerSaveRecord">
    <vt:lpwstr>eyJoZGlkIjoiNTFjNzhhZGYwNjg0MTU4YTViYTk1YmY4ZGE2MDMzMDAiLCJ1c2VySWQiOiI0MTA5MjU2MDMifQ==</vt:lpwstr>
  </property>
</Properties>
</file>