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B550B">
      <w:pPr>
        <w:pStyle w:val="63"/>
        <w:tabs>
          <w:tab w:val="left" w:leader="underscore" w:pos="1123"/>
        </w:tabs>
        <w:spacing w:after="360" w:line="240" w:lineRule="auto"/>
        <w:ind w:firstLine="0"/>
        <w:jc w:val="both"/>
        <w:rPr>
          <w:rStyle w:val="62"/>
          <w:rFonts w:hint="default" w:ascii="仿宋" w:hAnsi="仿宋" w:eastAsia="仿宋" w:cs="仿宋"/>
          <w:color w:val="auto"/>
          <w:sz w:val="26"/>
          <w:highlight w:val="none"/>
          <w:lang w:val="en-US"/>
        </w:rPr>
      </w:pPr>
      <w:r>
        <w:rPr>
          <w:rStyle w:val="62"/>
          <w:rFonts w:hint="eastAsia" w:ascii="仿宋" w:hAnsi="仿宋" w:eastAsia="仿宋" w:cs="仿宋"/>
          <w:color w:val="auto"/>
          <w:sz w:val="26"/>
          <w:highlight w:val="none"/>
          <w:lang w:val="en-US"/>
        </w:rPr>
        <w:t>·</w:t>
      </w:r>
      <w:r>
        <w:rPr>
          <w:rStyle w:val="62"/>
          <w:rFonts w:hint="eastAsia" w:ascii="仿宋" w:hAnsi="仿宋" w:eastAsia="仿宋" w:cs="仿宋"/>
          <w:color w:val="auto"/>
          <w:sz w:val="26"/>
          <w:highlight w:val="none"/>
          <w:lang w:val="en-US"/>
        </w:rPr>
        <w:tab/>
      </w:r>
      <w:bookmarkStart w:id="108" w:name="_GoBack"/>
      <w:bookmarkEnd w:id="108"/>
    </w:p>
    <w:p w14:paraId="4C930B19">
      <w:pPr>
        <w:pStyle w:val="63"/>
        <w:tabs>
          <w:tab w:val="left" w:leader="underscore" w:pos="1123"/>
        </w:tabs>
        <w:spacing w:after="360" w:line="240" w:lineRule="auto"/>
        <w:ind w:firstLine="0"/>
        <w:jc w:val="center"/>
        <w:rPr>
          <w:rFonts w:hint="eastAsia" w:ascii="仿宋" w:hAnsi="仿宋" w:eastAsia="仿宋" w:cs="仿宋"/>
          <w:color w:val="auto"/>
          <w:sz w:val="28"/>
          <w:szCs w:val="28"/>
          <w:highlight w:val="none"/>
          <w:u w:val="single"/>
        </w:rPr>
      </w:pPr>
      <w:r>
        <w:rPr>
          <w:rFonts w:hint="eastAsia" w:ascii="仿宋" w:hAnsi="仿宋" w:eastAsia="仿宋" w:cs="仿宋"/>
          <w:b/>
          <w:bCs/>
          <w:color w:val="auto"/>
          <w:sz w:val="28"/>
          <w:szCs w:val="28"/>
          <w:highlight w:val="none"/>
          <w:u w:val="single"/>
          <w:lang w:val="en-US" w:eastAsia="zh-CN"/>
        </w:rPr>
        <w:t>赣州景区建设运营有限公司猪肉类产品2026-2027年度框架协议供应商入围征集</w:t>
      </w:r>
      <w:r>
        <w:rPr>
          <w:rFonts w:hint="eastAsia" w:ascii="仿宋" w:hAnsi="仿宋" w:eastAsia="仿宋" w:cs="仿宋"/>
          <w:b/>
          <w:bCs/>
          <w:color w:val="auto"/>
          <w:sz w:val="28"/>
          <w:szCs w:val="28"/>
          <w:highlight w:val="none"/>
          <w:u w:val="single"/>
        </w:rPr>
        <w:t>项目</w:t>
      </w:r>
    </w:p>
    <w:p w14:paraId="62ED81B5">
      <w:pPr>
        <w:pStyle w:val="63"/>
        <w:tabs>
          <w:tab w:val="left" w:leader="underscore" w:pos="2830"/>
        </w:tabs>
        <w:spacing w:after="1440" w:line="240" w:lineRule="auto"/>
        <w:ind w:firstLine="0"/>
        <w:jc w:val="center"/>
        <w:rPr>
          <w:rFonts w:hint="eastAsia" w:ascii="仿宋" w:hAnsi="仿宋" w:eastAsia="仿宋" w:cs="仿宋"/>
          <w:b/>
          <w:bCs/>
          <w:color w:val="auto"/>
          <w:sz w:val="28"/>
          <w:szCs w:val="28"/>
          <w:highlight w:val="none"/>
        </w:rPr>
      </w:pPr>
      <w:r>
        <w:rPr>
          <w:rStyle w:val="62"/>
          <w:rFonts w:hint="eastAsia" w:ascii="仿宋" w:hAnsi="仿宋" w:eastAsia="仿宋" w:cs="仿宋"/>
          <w:b/>
          <w:bCs/>
          <w:color w:val="auto"/>
          <w:sz w:val="28"/>
          <w:szCs w:val="28"/>
          <w:highlight w:val="none"/>
        </w:rPr>
        <w:t>（</w:t>
      </w:r>
      <w:r>
        <w:rPr>
          <w:rStyle w:val="62"/>
          <w:rFonts w:hint="eastAsia" w:ascii="仿宋" w:hAnsi="仿宋" w:eastAsia="仿宋" w:cs="仿宋"/>
          <w:b/>
          <w:bCs/>
          <w:color w:val="auto"/>
          <w:sz w:val="28"/>
          <w:szCs w:val="28"/>
          <w:highlight w:val="none"/>
          <w:lang w:val="en-US"/>
        </w:rPr>
        <w:t>采购</w:t>
      </w:r>
      <w:r>
        <w:rPr>
          <w:rStyle w:val="62"/>
          <w:rFonts w:hint="eastAsia" w:ascii="仿宋" w:hAnsi="仿宋" w:eastAsia="仿宋" w:cs="仿宋"/>
          <w:b/>
          <w:bCs/>
          <w:color w:val="auto"/>
          <w:sz w:val="28"/>
          <w:szCs w:val="28"/>
          <w:highlight w:val="none"/>
        </w:rPr>
        <w:t>编号：</w:t>
      </w:r>
      <w:r>
        <w:rPr>
          <w:rStyle w:val="62"/>
          <w:rFonts w:hint="eastAsia" w:ascii="仿宋" w:hAnsi="仿宋" w:eastAsia="仿宋" w:cs="仿宋"/>
          <w:b/>
          <w:bCs/>
          <w:color w:val="auto"/>
          <w:sz w:val="28"/>
          <w:szCs w:val="28"/>
          <w:highlight w:val="none"/>
          <w:u w:val="single"/>
          <w:lang w:val="en-US"/>
        </w:rPr>
        <w:t xml:space="preserve">                   </w:t>
      </w:r>
      <w:r>
        <w:rPr>
          <w:rStyle w:val="62"/>
          <w:rFonts w:hint="eastAsia" w:ascii="仿宋" w:hAnsi="仿宋" w:eastAsia="仿宋" w:cs="仿宋"/>
          <w:b/>
          <w:bCs/>
          <w:color w:val="auto"/>
          <w:sz w:val="28"/>
          <w:szCs w:val="28"/>
          <w:highlight w:val="none"/>
          <w:u w:val="none"/>
        </w:rPr>
        <w:t>）</w:t>
      </w:r>
    </w:p>
    <w:p w14:paraId="34CD8C60">
      <w:pPr>
        <w:pStyle w:val="63"/>
        <w:spacing w:after="5680" w:line="480" w:lineRule="auto"/>
        <w:ind w:firstLine="0"/>
        <w:jc w:val="center"/>
        <w:rPr>
          <w:rStyle w:val="62"/>
          <w:rFonts w:hint="eastAsia" w:ascii="仿宋" w:hAnsi="仿宋" w:eastAsia="仿宋" w:cs="仿宋"/>
          <w:b/>
          <w:bCs/>
          <w:color w:val="auto"/>
          <w:sz w:val="44"/>
          <w:szCs w:val="44"/>
          <w:highlight w:val="none"/>
        </w:rPr>
      </w:pPr>
      <w:r>
        <w:rPr>
          <w:rStyle w:val="62"/>
          <w:rFonts w:hint="eastAsia" w:ascii="仿宋" w:hAnsi="仿宋" w:eastAsia="仿宋" w:cs="仿宋"/>
          <w:b/>
          <w:bCs/>
          <w:color w:val="auto"/>
          <w:spacing w:val="206"/>
          <w:kern w:val="0"/>
          <w:sz w:val="44"/>
          <w:szCs w:val="44"/>
          <w:highlight w:val="none"/>
          <w:fitText w:val="3000" w:id="1857494822"/>
          <w:lang w:val="en-US"/>
        </w:rPr>
        <w:t>征集</w:t>
      </w:r>
      <w:r>
        <w:rPr>
          <w:rStyle w:val="62"/>
          <w:rFonts w:hint="eastAsia" w:ascii="仿宋" w:hAnsi="仿宋" w:eastAsia="仿宋" w:cs="仿宋"/>
          <w:b/>
          <w:bCs/>
          <w:color w:val="auto"/>
          <w:spacing w:val="206"/>
          <w:kern w:val="0"/>
          <w:sz w:val="44"/>
          <w:szCs w:val="44"/>
          <w:highlight w:val="none"/>
          <w:fitText w:val="3000" w:id="1857494822"/>
        </w:rPr>
        <w:t>文</w:t>
      </w:r>
      <w:r>
        <w:rPr>
          <w:rStyle w:val="62"/>
          <w:rFonts w:hint="eastAsia" w:ascii="仿宋" w:hAnsi="仿宋" w:eastAsia="仿宋" w:cs="仿宋"/>
          <w:b/>
          <w:bCs/>
          <w:color w:val="auto"/>
          <w:spacing w:val="2"/>
          <w:kern w:val="0"/>
          <w:sz w:val="44"/>
          <w:szCs w:val="44"/>
          <w:highlight w:val="none"/>
          <w:fitText w:val="3000" w:id="1857494822"/>
        </w:rPr>
        <w:t>件</w:t>
      </w:r>
    </w:p>
    <w:p w14:paraId="09DF39BE">
      <w:pPr>
        <w:spacing w:after="313" w:afterLines="100" w:line="360" w:lineRule="auto"/>
        <w:jc w:val="center"/>
        <w:rPr>
          <w:rStyle w:val="62"/>
          <w:rFonts w:hint="eastAsia" w:ascii="仿宋" w:hAnsi="仿宋" w:eastAsia="仿宋" w:cs="仿宋"/>
          <w:b/>
          <w:bCs/>
          <w:color w:val="auto"/>
          <w:sz w:val="28"/>
          <w:szCs w:val="28"/>
          <w:highlight w:val="none"/>
          <w:lang w:val="en-US"/>
        </w:rPr>
      </w:pPr>
      <w:r>
        <w:rPr>
          <w:rFonts w:hint="eastAsia" w:ascii="仿宋" w:hAnsi="仿宋" w:eastAsia="仿宋" w:cs="仿宋"/>
          <w:b/>
          <w:bCs/>
          <w:color w:val="auto"/>
          <w:sz w:val="28"/>
          <w:szCs w:val="28"/>
          <w:highlight w:val="none"/>
          <w:lang w:val="en-US" w:eastAsia="zh-CN"/>
        </w:rPr>
        <w:t>采购</w:t>
      </w:r>
      <w:r>
        <w:rPr>
          <w:rFonts w:hint="eastAsia" w:ascii="仿宋" w:hAnsi="仿宋" w:eastAsia="仿宋" w:cs="仿宋"/>
          <w:b/>
          <w:bCs/>
          <w:color w:val="auto"/>
          <w:sz w:val="28"/>
          <w:szCs w:val="28"/>
          <w:highlight w:val="none"/>
        </w:rPr>
        <w:t>人：</w:t>
      </w:r>
      <w:r>
        <w:rPr>
          <w:rFonts w:hint="eastAsia" w:ascii="仿宋" w:hAnsi="仿宋" w:eastAsia="仿宋" w:cs="仿宋"/>
          <w:b/>
          <w:bCs/>
          <w:color w:val="auto"/>
          <w:sz w:val="28"/>
          <w:szCs w:val="28"/>
          <w:highlight w:val="none"/>
        </w:rPr>
        <w:tab/>
      </w:r>
      <w:r>
        <w:rPr>
          <w:rFonts w:hint="eastAsia" w:ascii="仿宋" w:hAnsi="仿宋" w:eastAsia="仿宋" w:cs="仿宋"/>
          <w:b/>
          <w:bCs/>
          <w:color w:val="auto"/>
          <w:sz w:val="28"/>
          <w:szCs w:val="28"/>
          <w:highlight w:val="none"/>
          <w:u w:val="single"/>
          <w:lang w:eastAsia="zh-CN"/>
        </w:rPr>
        <w:t>赣州景区建设运营有限公司</w:t>
      </w:r>
    </w:p>
    <w:p w14:paraId="656B5B83">
      <w:pPr>
        <w:spacing w:line="360" w:lineRule="auto"/>
        <w:jc w:val="center"/>
        <w:rPr>
          <w:rFonts w:hint="eastAsia" w:ascii="仿宋" w:hAnsi="仿宋" w:eastAsia="仿宋" w:cs="仿宋"/>
          <w:color w:val="auto"/>
          <w:sz w:val="28"/>
          <w:szCs w:val="28"/>
          <w:highlight w:val="none"/>
        </w:rPr>
        <w:sectPr>
          <w:footerReference r:id="rId3" w:type="default"/>
          <w:pgSz w:w="11906" w:h="16838"/>
          <w:pgMar w:top="1440" w:right="1800" w:bottom="1440" w:left="1800" w:header="851" w:footer="992" w:gutter="0"/>
          <w:pgNumType w:start="1"/>
          <w:cols w:space="720" w:num="1"/>
          <w:docGrid w:type="lines" w:linePitch="312" w:charSpace="0"/>
        </w:sectPr>
      </w:pPr>
      <w:r>
        <w:rPr>
          <w:rStyle w:val="62"/>
          <w:rFonts w:hint="eastAsia" w:ascii="仿宋" w:hAnsi="仿宋" w:eastAsia="仿宋" w:cs="仿宋"/>
          <w:b/>
          <w:bCs/>
          <w:color w:val="auto"/>
          <w:sz w:val="28"/>
          <w:szCs w:val="28"/>
          <w:highlight w:val="none"/>
          <w:u w:val="single"/>
          <w:lang w:val="en-US"/>
        </w:rPr>
        <w:t>2026</w:t>
      </w:r>
      <w:r>
        <w:rPr>
          <w:rStyle w:val="62"/>
          <w:rFonts w:hint="eastAsia" w:ascii="仿宋" w:hAnsi="仿宋" w:eastAsia="仿宋" w:cs="仿宋"/>
          <w:b/>
          <w:bCs/>
          <w:color w:val="auto"/>
          <w:sz w:val="28"/>
          <w:szCs w:val="28"/>
          <w:highlight w:val="none"/>
          <w:lang w:val="en-US"/>
        </w:rPr>
        <w:t>年</w:t>
      </w:r>
      <w:r>
        <w:rPr>
          <w:rStyle w:val="62"/>
          <w:rFonts w:hint="eastAsia" w:ascii="仿宋" w:hAnsi="仿宋" w:eastAsia="仿宋" w:cs="仿宋"/>
          <w:b/>
          <w:bCs/>
          <w:color w:val="auto"/>
          <w:sz w:val="28"/>
          <w:szCs w:val="28"/>
          <w:highlight w:val="none"/>
          <w:u w:val="single"/>
          <w:lang w:val="en-US"/>
        </w:rPr>
        <w:t>5月</w:t>
      </w:r>
    </w:p>
    <w:sdt>
      <w:sdtPr>
        <w:rPr>
          <w:rFonts w:ascii="宋体" w:hAnsi="宋体" w:eastAsia="宋体" w:cs="Times New Roman"/>
          <w:b/>
          <w:bCs/>
          <w:kern w:val="2"/>
          <w:sz w:val="30"/>
          <w:szCs w:val="30"/>
          <w:lang w:val="en-US" w:eastAsia="zh-CN" w:bidi="ar-SA"/>
        </w:rPr>
        <w:id w:val="147478244"/>
        <w15:color w:val="DBDBDB"/>
        <w:docPartObj>
          <w:docPartGallery w:val="Table of Contents"/>
          <w:docPartUnique/>
        </w:docPartObj>
      </w:sdtPr>
      <w:sdtEndPr>
        <w:rPr>
          <w:rFonts w:ascii="宋体" w:hAnsi="宋体" w:eastAsia="宋体" w:cs="Times New Roman"/>
          <w:b/>
          <w:bCs/>
          <w:kern w:val="2"/>
          <w:sz w:val="21"/>
          <w:szCs w:val="24"/>
          <w:lang w:val="en-US" w:eastAsia="zh-CN" w:bidi="ar-SA"/>
        </w:rPr>
      </w:sdtEndPr>
      <w:sdtContent>
        <w:p w14:paraId="7962CE71">
          <w:pPr>
            <w:spacing w:before="0" w:beforeLines="0" w:after="0" w:afterLines="0" w:line="240" w:lineRule="auto"/>
            <w:ind w:left="0" w:leftChars="0" w:right="0" w:rightChars="0" w:firstLine="0" w:firstLineChars="0"/>
            <w:jc w:val="center"/>
            <w:rPr>
              <w:b/>
              <w:bCs/>
              <w:sz w:val="30"/>
              <w:szCs w:val="30"/>
            </w:rPr>
          </w:pPr>
          <w:r>
            <w:rPr>
              <w:rFonts w:ascii="宋体" w:hAnsi="宋体" w:eastAsia="宋体"/>
              <w:b/>
              <w:bCs/>
              <w:sz w:val="30"/>
              <w:szCs w:val="30"/>
            </w:rPr>
            <w:t>目录</w:t>
          </w:r>
        </w:p>
        <w:p w14:paraId="31179E7F">
          <w:pPr>
            <w:pStyle w:val="17"/>
            <w:tabs>
              <w:tab w:val="right" w:leader="dot" w:pos="8306"/>
            </w:tabs>
          </w:pPr>
          <w:r>
            <w:fldChar w:fldCharType="begin"/>
          </w:r>
          <w:r>
            <w:instrText xml:space="preserve">TOC \o "1-2" \h \u </w:instrText>
          </w:r>
          <w:r>
            <w:fldChar w:fldCharType="separate"/>
          </w:r>
          <w:r>
            <w:fldChar w:fldCharType="begin"/>
          </w:r>
          <w:r>
            <w:instrText xml:space="preserve"> HYPERLINK \l _Toc18604 </w:instrText>
          </w:r>
          <w:r>
            <w:fldChar w:fldCharType="separate"/>
          </w:r>
          <w:r>
            <w:rPr>
              <w:rFonts w:hint="eastAsia" w:ascii="仿宋" w:hAnsi="仿宋" w:eastAsia="仿宋" w:cs="仿宋"/>
              <w:highlight w:val="none"/>
            </w:rPr>
            <w:t>第一章</w:t>
          </w:r>
          <w:r>
            <w:rPr>
              <w:rFonts w:hint="eastAsia" w:ascii="仿宋" w:hAnsi="仿宋" w:eastAsia="仿宋" w:cs="仿宋"/>
              <w:highlight w:val="none"/>
              <w:lang w:val="en-US" w:eastAsia="zh-CN"/>
            </w:rPr>
            <w:t xml:space="preserve"> 征集</w:t>
          </w:r>
          <w:r>
            <w:rPr>
              <w:rFonts w:hint="eastAsia" w:ascii="仿宋" w:hAnsi="仿宋" w:eastAsia="仿宋" w:cs="仿宋"/>
              <w:highlight w:val="none"/>
            </w:rPr>
            <w:t>公告</w:t>
          </w:r>
          <w:r>
            <w:tab/>
          </w:r>
          <w:r>
            <w:fldChar w:fldCharType="begin"/>
          </w:r>
          <w:r>
            <w:instrText xml:space="preserve"> PAGEREF _Toc18604 \h </w:instrText>
          </w:r>
          <w:r>
            <w:fldChar w:fldCharType="separate"/>
          </w:r>
          <w:r>
            <w:t>2</w:t>
          </w:r>
          <w:r>
            <w:fldChar w:fldCharType="end"/>
          </w:r>
          <w:r>
            <w:fldChar w:fldCharType="end"/>
          </w:r>
        </w:p>
        <w:p w14:paraId="072D656B">
          <w:pPr>
            <w:pStyle w:val="18"/>
            <w:tabs>
              <w:tab w:val="right" w:leader="dot" w:pos="8306"/>
            </w:tabs>
          </w:pPr>
          <w:r>
            <w:fldChar w:fldCharType="begin"/>
          </w:r>
          <w:r>
            <w:instrText xml:space="preserve"> HYPERLINK \l _Toc14842 </w:instrText>
          </w:r>
          <w:r>
            <w:fldChar w:fldCharType="separate"/>
          </w:r>
          <w:r>
            <w:rPr>
              <w:rFonts w:hint="eastAsia" w:ascii="仿宋" w:hAnsi="仿宋" w:eastAsia="仿宋" w:cs="仿宋"/>
              <w:kern w:val="2"/>
              <w:szCs w:val="32"/>
              <w:lang w:val="en-US" w:eastAsia="zh-CN" w:bidi="ar-SA"/>
            </w:rPr>
            <w:t>1.</w:t>
          </w:r>
          <w:r>
            <w:rPr>
              <w:rFonts w:hint="eastAsia" w:ascii="仿宋" w:hAnsi="仿宋" w:eastAsia="仿宋" w:cs="仿宋"/>
              <w:szCs w:val="32"/>
              <w:highlight w:val="none"/>
              <w:lang w:eastAsia="zh-CN"/>
            </w:rPr>
            <w:t>采购</w:t>
          </w:r>
          <w:r>
            <w:rPr>
              <w:rFonts w:hint="eastAsia" w:ascii="仿宋" w:hAnsi="仿宋" w:eastAsia="仿宋" w:cs="仿宋"/>
              <w:szCs w:val="32"/>
              <w:highlight w:val="none"/>
            </w:rPr>
            <w:t>条件</w:t>
          </w:r>
          <w:r>
            <w:tab/>
          </w:r>
          <w:r>
            <w:fldChar w:fldCharType="begin"/>
          </w:r>
          <w:r>
            <w:instrText xml:space="preserve"> PAGEREF _Toc14842 \h </w:instrText>
          </w:r>
          <w:r>
            <w:fldChar w:fldCharType="separate"/>
          </w:r>
          <w:r>
            <w:t>2</w:t>
          </w:r>
          <w:r>
            <w:fldChar w:fldCharType="end"/>
          </w:r>
          <w:r>
            <w:fldChar w:fldCharType="end"/>
          </w:r>
        </w:p>
        <w:p w14:paraId="238D0BCB">
          <w:pPr>
            <w:pStyle w:val="18"/>
            <w:tabs>
              <w:tab w:val="right" w:leader="dot" w:pos="8306"/>
            </w:tabs>
          </w:pPr>
          <w:r>
            <w:fldChar w:fldCharType="begin"/>
          </w:r>
          <w:r>
            <w:instrText xml:space="preserve"> HYPERLINK \l _Toc21513 </w:instrText>
          </w:r>
          <w:r>
            <w:fldChar w:fldCharType="separate"/>
          </w:r>
          <w:r>
            <w:rPr>
              <w:rFonts w:hint="eastAsia" w:ascii="仿宋" w:hAnsi="仿宋" w:eastAsia="仿宋" w:cs="仿宋"/>
              <w:kern w:val="2"/>
              <w:szCs w:val="32"/>
              <w:lang w:val="en-US" w:eastAsia="zh-CN" w:bidi="ar-SA"/>
            </w:rPr>
            <w:t>2.</w:t>
          </w:r>
          <w:r>
            <w:rPr>
              <w:rFonts w:hint="eastAsia" w:ascii="仿宋" w:hAnsi="仿宋" w:eastAsia="仿宋" w:cs="仿宋"/>
              <w:szCs w:val="32"/>
              <w:highlight w:val="none"/>
            </w:rPr>
            <w:t>项目概况与</w:t>
          </w:r>
          <w:r>
            <w:rPr>
              <w:rFonts w:hint="eastAsia" w:ascii="仿宋" w:hAnsi="仿宋" w:eastAsia="仿宋" w:cs="仿宋"/>
              <w:szCs w:val="32"/>
              <w:highlight w:val="none"/>
              <w:lang w:eastAsia="zh-CN"/>
            </w:rPr>
            <w:t>采购</w:t>
          </w:r>
          <w:r>
            <w:rPr>
              <w:rFonts w:hint="eastAsia" w:ascii="仿宋" w:hAnsi="仿宋" w:eastAsia="仿宋" w:cs="仿宋"/>
              <w:szCs w:val="32"/>
              <w:highlight w:val="none"/>
            </w:rPr>
            <w:t>范围</w:t>
          </w:r>
          <w:r>
            <w:tab/>
          </w:r>
          <w:r>
            <w:fldChar w:fldCharType="begin"/>
          </w:r>
          <w:r>
            <w:instrText xml:space="preserve"> PAGEREF _Toc21513 \h </w:instrText>
          </w:r>
          <w:r>
            <w:fldChar w:fldCharType="separate"/>
          </w:r>
          <w:r>
            <w:t>2</w:t>
          </w:r>
          <w:r>
            <w:fldChar w:fldCharType="end"/>
          </w:r>
          <w:r>
            <w:fldChar w:fldCharType="end"/>
          </w:r>
        </w:p>
        <w:p w14:paraId="1ED2BE94">
          <w:pPr>
            <w:pStyle w:val="18"/>
            <w:tabs>
              <w:tab w:val="right" w:leader="dot" w:pos="8306"/>
            </w:tabs>
          </w:pPr>
          <w:r>
            <w:fldChar w:fldCharType="begin"/>
          </w:r>
          <w:r>
            <w:instrText xml:space="preserve"> HYPERLINK \l _Toc27235 </w:instrText>
          </w:r>
          <w:r>
            <w:fldChar w:fldCharType="separate"/>
          </w:r>
          <w:r>
            <w:rPr>
              <w:rFonts w:hint="eastAsia" w:ascii="仿宋" w:hAnsi="仿宋" w:eastAsia="仿宋" w:cs="仿宋"/>
              <w:kern w:val="2"/>
              <w:szCs w:val="24"/>
              <w:highlight w:val="none"/>
              <w:lang w:val="en-US" w:eastAsia="zh-CN" w:bidi="ar-SA"/>
            </w:rPr>
            <w:t>3.</w:t>
          </w:r>
          <w:r>
            <w:rPr>
              <w:rFonts w:hint="eastAsia" w:ascii="仿宋" w:hAnsi="仿宋" w:eastAsia="仿宋" w:cs="仿宋"/>
              <w:highlight w:val="none"/>
              <w:lang w:val="en-US" w:eastAsia="zh-CN"/>
            </w:rPr>
            <w:t>供应商</w:t>
          </w:r>
          <w:r>
            <w:rPr>
              <w:rFonts w:hint="eastAsia" w:ascii="仿宋" w:hAnsi="仿宋" w:eastAsia="仿宋" w:cs="仿宋"/>
              <w:highlight w:val="none"/>
            </w:rPr>
            <w:t>资格要求</w:t>
          </w:r>
          <w:r>
            <w:tab/>
          </w:r>
          <w:r>
            <w:fldChar w:fldCharType="begin"/>
          </w:r>
          <w:r>
            <w:instrText xml:space="preserve"> PAGEREF _Toc27235 \h </w:instrText>
          </w:r>
          <w:r>
            <w:fldChar w:fldCharType="separate"/>
          </w:r>
          <w:r>
            <w:t>2</w:t>
          </w:r>
          <w:r>
            <w:fldChar w:fldCharType="end"/>
          </w:r>
          <w:r>
            <w:fldChar w:fldCharType="end"/>
          </w:r>
        </w:p>
        <w:p w14:paraId="5F0F0AD2">
          <w:pPr>
            <w:pStyle w:val="18"/>
            <w:tabs>
              <w:tab w:val="right" w:leader="dot" w:pos="8306"/>
            </w:tabs>
          </w:pPr>
          <w:r>
            <w:fldChar w:fldCharType="begin"/>
          </w:r>
          <w:r>
            <w:instrText xml:space="preserve"> HYPERLINK \l _Toc11894 </w:instrText>
          </w:r>
          <w:r>
            <w:fldChar w:fldCharType="separate"/>
          </w:r>
          <w:r>
            <w:rPr>
              <w:rFonts w:hint="eastAsia" w:ascii="仿宋" w:hAnsi="仿宋" w:eastAsia="仿宋" w:cs="仿宋"/>
              <w:kern w:val="2"/>
              <w:szCs w:val="32"/>
              <w:lang w:val="en-US" w:eastAsia="zh-CN" w:bidi="ar-SA"/>
            </w:rPr>
            <w:t>4.</w:t>
          </w:r>
          <w:r>
            <w:rPr>
              <w:rFonts w:hint="eastAsia" w:ascii="仿宋" w:hAnsi="仿宋" w:eastAsia="仿宋" w:cs="仿宋"/>
              <w:szCs w:val="32"/>
              <w:highlight w:val="none"/>
              <w:lang w:val="en-US" w:eastAsia="zh-CN"/>
            </w:rPr>
            <w:t>征集</w:t>
          </w:r>
          <w:r>
            <w:rPr>
              <w:rFonts w:hint="eastAsia" w:ascii="仿宋" w:hAnsi="仿宋" w:eastAsia="仿宋" w:cs="仿宋"/>
              <w:szCs w:val="32"/>
              <w:highlight w:val="none"/>
            </w:rPr>
            <w:t>文件的获取</w:t>
          </w:r>
          <w:r>
            <w:tab/>
          </w:r>
          <w:r>
            <w:fldChar w:fldCharType="begin"/>
          </w:r>
          <w:r>
            <w:instrText xml:space="preserve"> PAGEREF _Toc11894 \h </w:instrText>
          </w:r>
          <w:r>
            <w:fldChar w:fldCharType="separate"/>
          </w:r>
          <w:r>
            <w:t>3</w:t>
          </w:r>
          <w:r>
            <w:fldChar w:fldCharType="end"/>
          </w:r>
          <w:r>
            <w:fldChar w:fldCharType="end"/>
          </w:r>
        </w:p>
        <w:p w14:paraId="341146D0">
          <w:pPr>
            <w:pStyle w:val="18"/>
            <w:tabs>
              <w:tab w:val="right" w:leader="dot" w:pos="8306"/>
            </w:tabs>
          </w:pPr>
          <w:r>
            <w:fldChar w:fldCharType="begin"/>
          </w:r>
          <w:r>
            <w:instrText xml:space="preserve"> HYPERLINK \l _Toc28364 </w:instrText>
          </w:r>
          <w:r>
            <w:fldChar w:fldCharType="separate"/>
          </w:r>
          <w:r>
            <w:rPr>
              <w:rFonts w:hint="eastAsia" w:ascii="仿宋" w:hAnsi="仿宋" w:eastAsia="仿宋" w:cs="仿宋"/>
              <w:kern w:val="2"/>
              <w:szCs w:val="32"/>
              <w:lang w:val="en-US" w:eastAsia="zh-CN" w:bidi="ar-SA"/>
            </w:rPr>
            <w:t>5.</w:t>
          </w:r>
          <w:r>
            <w:rPr>
              <w:rFonts w:hint="eastAsia" w:ascii="仿宋" w:hAnsi="仿宋" w:eastAsia="仿宋" w:cs="仿宋"/>
              <w:szCs w:val="32"/>
              <w:lang w:val="en-US" w:eastAsia="zh-CN"/>
            </w:rPr>
            <w:t>响应</w:t>
          </w:r>
          <w:r>
            <w:rPr>
              <w:rFonts w:hint="eastAsia" w:ascii="仿宋" w:hAnsi="仿宋" w:eastAsia="仿宋" w:cs="仿宋"/>
              <w:szCs w:val="32"/>
              <w:lang w:eastAsia="zh-CN"/>
            </w:rPr>
            <w:t>保证金</w:t>
          </w:r>
          <w:r>
            <w:tab/>
          </w:r>
          <w:r>
            <w:fldChar w:fldCharType="begin"/>
          </w:r>
          <w:r>
            <w:instrText xml:space="preserve"> PAGEREF _Toc28364 \h </w:instrText>
          </w:r>
          <w:r>
            <w:fldChar w:fldCharType="separate"/>
          </w:r>
          <w:r>
            <w:t>3</w:t>
          </w:r>
          <w:r>
            <w:fldChar w:fldCharType="end"/>
          </w:r>
          <w:r>
            <w:fldChar w:fldCharType="end"/>
          </w:r>
        </w:p>
        <w:p w14:paraId="3F6D5717">
          <w:pPr>
            <w:pStyle w:val="18"/>
            <w:tabs>
              <w:tab w:val="right" w:leader="dot" w:pos="8306"/>
            </w:tabs>
          </w:pPr>
          <w:r>
            <w:fldChar w:fldCharType="begin"/>
          </w:r>
          <w:r>
            <w:instrText xml:space="preserve"> HYPERLINK \l _Toc25159 </w:instrText>
          </w:r>
          <w:r>
            <w:fldChar w:fldCharType="separate"/>
          </w:r>
          <w:r>
            <w:rPr>
              <w:rFonts w:hint="eastAsia" w:ascii="仿宋" w:hAnsi="仿宋" w:eastAsia="仿宋" w:cs="仿宋"/>
              <w:highlight w:val="none"/>
              <w:lang w:val="en-US" w:eastAsia="zh-CN"/>
            </w:rPr>
            <w:t>6.响应</w:t>
          </w:r>
          <w:r>
            <w:rPr>
              <w:rFonts w:hint="eastAsia" w:ascii="仿宋" w:hAnsi="仿宋" w:eastAsia="仿宋" w:cs="仿宋"/>
              <w:highlight w:val="none"/>
            </w:rPr>
            <w:t>文件的递交</w:t>
          </w:r>
          <w:r>
            <w:tab/>
          </w:r>
          <w:r>
            <w:fldChar w:fldCharType="begin"/>
          </w:r>
          <w:r>
            <w:instrText xml:space="preserve"> PAGEREF _Toc25159 \h </w:instrText>
          </w:r>
          <w:r>
            <w:fldChar w:fldCharType="separate"/>
          </w:r>
          <w:r>
            <w:t>4</w:t>
          </w:r>
          <w:r>
            <w:fldChar w:fldCharType="end"/>
          </w:r>
          <w:r>
            <w:fldChar w:fldCharType="end"/>
          </w:r>
        </w:p>
        <w:p w14:paraId="3727FA0D">
          <w:pPr>
            <w:pStyle w:val="18"/>
            <w:tabs>
              <w:tab w:val="right" w:leader="dot" w:pos="8306"/>
            </w:tabs>
          </w:pPr>
          <w:r>
            <w:fldChar w:fldCharType="begin"/>
          </w:r>
          <w:r>
            <w:instrText xml:space="preserve"> HYPERLINK \l _Toc7119 </w:instrText>
          </w:r>
          <w:r>
            <w:fldChar w:fldCharType="separate"/>
          </w:r>
          <w:r>
            <w:rPr>
              <w:rFonts w:hint="eastAsia" w:ascii="仿宋" w:hAnsi="仿宋" w:eastAsia="仿宋" w:cs="仿宋"/>
              <w:highlight w:val="none"/>
              <w:lang w:val="en-US" w:eastAsia="zh-CN"/>
            </w:rPr>
            <w:t>7.响应文件的开启</w:t>
          </w:r>
          <w:r>
            <w:tab/>
          </w:r>
          <w:r>
            <w:fldChar w:fldCharType="begin"/>
          </w:r>
          <w:r>
            <w:instrText xml:space="preserve"> PAGEREF _Toc7119 \h </w:instrText>
          </w:r>
          <w:r>
            <w:fldChar w:fldCharType="separate"/>
          </w:r>
          <w:r>
            <w:t>4</w:t>
          </w:r>
          <w:r>
            <w:fldChar w:fldCharType="end"/>
          </w:r>
          <w:r>
            <w:fldChar w:fldCharType="end"/>
          </w:r>
        </w:p>
        <w:p w14:paraId="0D6FD278">
          <w:pPr>
            <w:pStyle w:val="18"/>
            <w:tabs>
              <w:tab w:val="right" w:leader="dot" w:pos="8306"/>
            </w:tabs>
          </w:pPr>
          <w:r>
            <w:fldChar w:fldCharType="begin"/>
          </w:r>
          <w:r>
            <w:instrText xml:space="preserve"> HYPERLINK \l _Toc24321 </w:instrText>
          </w:r>
          <w:r>
            <w:fldChar w:fldCharType="separate"/>
          </w:r>
          <w:r>
            <w:rPr>
              <w:rFonts w:hint="eastAsia" w:ascii="仿宋" w:hAnsi="仿宋" w:eastAsia="仿宋" w:cs="仿宋"/>
              <w:highlight w:val="none"/>
              <w:lang w:val="en-US" w:eastAsia="zh-CN"/>
            </w:rPr>
            <w:t>8.合同签订及付款条件</w:t>
          </w:r>
          <w:r>
            <w:tab/>
          </w:r>
          <w:r>
            <w:fldChar w:fldCharType="begin"/>
          </w:r>
          <w:r>
            <w:instrText xml:space="preserve"> PAGEREF _Toc24321 \h </w:instrText>
          </w:r>
          <w:r>
            <w:fldChar w:fldCharType="separate"/>
          </w:r>
          <w:r>
            <w:t>4</w:t>
          </w:r>
          <w:r>
            <w:fldChar w:fldCharType="end"/>
          </w:r>
          <w:r>
            <w:fldChar w:fldCharType="end"/>
          </w:r>
        </w:p>
        <w:p w14:paraId="6D82FD09">
          <w:pPr>
            <w:pStyle w:val="18"/>
            <w:tabs>
              <w:tab w:val="right" w:leader="dot" w:pos="8306"/>
            </w:tabs>
          </w:pPr>
          <w:r>
            <w:fldChar w:fldCharType="begin"/>
          </w:r>
          <w:r>
            <w:instrText xml:space="preserve"> HYPERLINK \l _Toc763 </w:instrText>
          </w:r>
          <w:r>
            <w:fldChar w:fldCharType="separate"/>
          </w:r>
          <w:r>
            <w:rPr>
              <w:rFonts w:hint="eastAsia" w:ascii="仿宋" w:hAnsi="仿宋" w:eastAsia="仿宋" w:cs="仿宋"/>
              <w:kern w:val="2"/>
              <w:szCs w:val="32"/>
              <w:lang w:val="en-US" w:eastAsia="zh-CN" w:bidi="ar-SA"/>
            </w:rPr>
            <w:t>9.</w:t>
          </w:r>
          <w:r>
            <w:rPr>
              <w:rFonts w:hint="eastAsia" w:ascii="仿宋" w:hAnsi="仿宋" w:eastAsia="仿宋" w:cs="仿宋"/>
              <w:szCs w:val="32"/>
              <w:highlight w:val="none"/>
            </w:rPr>
            <w:t>发布公告的媒介</w:t>
          </w:r>
          <w:r>
            <w:tab/>
          </w:r>
          <w:r>
            <w:fldChar w:fldCharType="begin"/>
          </w:r>
          <w:r>
            <w:instrText xml:space="preserve"> PAGEREF _Toc763 \h </w:instrText>
          </w:r>
          <w:r>
            <w:fldChar w:fldCharType="separate"/>
          </w:r>
          <w:r>
            <w:t>5</w:t>
          </w:r>
          <w:r>
            <w:fldChar w:fldCharType="end"/>
          </w:r>
          <w:r>
            <w:fldChar w:fldCharType="end"/>
          </w:r>
        </w:p>
        <w:p w14:paraId="04993BFD">
          <w:pPr>
            <w:pStyle w:val="18"/>
            <w:tabs>
              <w:tab w:val="right" w:leader="dot" w:pos="8306"/>
            </w:tabs>
          </w:pPr>
          <w:r>
            <w:fldChar w:fldCharType="begin"/>
          </w:r>
          <w:r>
            <w:instrText xml:space="preserve"> HYPERLINK \l _Toc22412 </w:instrText>
          </w:r>
          <w:r>
            <w:fldChar w:fldCharType="separate"/>
          </w:r>
          <w:r>
            <w:rPr>
              <w:rFonts w:hint="eastAsia" w:ascii="仿宋" w:hAnsi="仿宋" w:eastAsia="仿宋" w:cs="仿宋"/>
              <w:kern w:val="2"/>
              <w:szCs w:val="32"/>
              <w:lang w:val="en-US" w:eastAsia="zh-CN" w:bidi="ar-SA"/>
            </w:rPr>
            <w:t>10.</w:t>
          </w:r>
          <w:r>
            <w:rPr>
              <w:rFonts w:hint="eastAsia" w:ascii="仿宋" w:hAnsi="仿宋" w:eastAsia="仿宋" w:cs="仿宋"/>
              <w:szCs w:val="32"/>
              <w:highlight w:val="none"/>
            </w:rPr>
            <w:t>联系方式</w:t>
          </w:r>
          <w:r>
            <w:tab/>
          </w:r>
          <w:r>
            <w:fldChar w:fldCharType="begin"/>
          </w:r>
          <w:r>
            <w:instrText xml:space="preserve"> PAGEREF _Toc22412 \h </w:instrText>
          </w:r>
          <w:r>
            <w:fldChar w:fldCharType="separate"/>
          </w:r>
          <w:r>
            <w:t>5</w:t>
          </w:r>
          <w:r>
            <w:fldChar w:fldCharType="end"/>
          </w:r>
          <w:r>
            <w:fldChar w:fldCharType="end"/>
          </w:r>
        </w:p>
        <w:p w14:paraId="473D1AF7">
          <w:pPr>
            <w:pStyle w:val="17"/>
            <w:tabs>
              <w:tab w:val="right" w:leader="dot" w:pos="8306"/>
            </w:tabs>
          </w:pPr>
          <w:r>
            <w:fldChar w:fldCharType="begin"/>
          </w:r>
          <w:r>
            <w:instrText xml:space="preserve"> HYPERLINK \l _Toc15567 </w:instrText>
          </w:r>
          <w:r>
            <w:fldChar w:fldCharType="separate"/>
          </w:r>
          <w:r>
            <w:rPr>
              <w:rFonts w:hint="eastAsia" w:ascii="仿宋" w:hAnsi="仿宋" w:eastAsia="仿宋" w:cs="仿宋"/>
              <w:highlight w:val="none"/>
            </w:rPr>
            <w:t>第二</w:t>
          </w:r>
          <w:r>
            <w:rPr>
              <w:rFonts w:hint="eastAsia" w:ascii="仿宋" w:hAnsi="仿宋" w:eastAsia="仿宋" w:cs="仿宋"/>
              <w:highlight w:val="none"/>
              <w:lang w:val="en-US" w:eastAsia="zh-CN"/>
            </w:rPr>
            <w:t>章</w:t>
          </w:r>
          <w:r>
            <w:rPr>
              <w:rFonts w:hint="eastAsia" w:ascii="仿宋" w:hAnsi="仿宋" w:eastAsia="仿宋" w:cs="仿宋"/>
              <w:highlight w:val="none"/>
            </w:rPr>
            <w:t xml:space="preserve">  </w:t>
          </w:r>
          <w:r>
            <w:rPr>
              <w:rFonts w:hint="eastAsia" w:ascii="仿宋" w:hAnsi="仿宋" w:eastAsia="仿宋" w:cs="仿宋"/>
              <w:highlight w:val="none"/>
              <w:lang w:val="en-US" w:eastAsia="zh-CN"/>
            </w:rPr>
            <w:t>供应商</w:t>
          </w:r>
          <w:r>
            <w:rPr>
              <w:rFonts w:hint="eastAsia" w:ascii="仿宋" w:hAnsi="仿宋" w:eastAsia="仿宋" w:cs="仿宋"/>
              <w:highlight w:val="none"/>
            </w:rPr>
            <w:t>须知</w:t>
          </w:r>
          <w:r>
            <w:tab/>
          </w:r>
          <w:r>
            <w:fldChar w:fldCharType="begin"/>
          </w:r>
          <w:r>
            <w:instrText xml:space="preserve"> PAGEREF _Toc15567 \h </w:instrText>
          </w:r>
          <w:r>
            <w:fldChar w:fldCharType="separate"/>
          </w:r>
          <w:r>
            <w:t>6</w:t>
          </w:r>
          <w:r>
            <w:fldChar w:fldCharType="end"/>
          </w:r>
          <w:r>
            <w:fldChar w:fldCharType="end"/>
          </w:r>
        </w:p>
        <w:p w14:paraId="328F6AA4">
          <w:pPr>
            <w:pStyle w:val="18"/>
            <w:tabs>
              <w:tab w:val="right" w:leader="dot" w:pos="8306"/>
            </w:tabs>
          </w:pPr>
          <w:r>
            <w:fldChar w:fldCharType="begin"/>
          </w:r>
          <w:r>
            <w:instrText xml:space="preserve"> HYPERLINK \l _Toc14038 </w:instrText>
          </w:r>
          <w:r>
            <w:fldChar w:fldCharType="separate"/>
          </w:r>
          <w:r>
            <w:rPr>
              <w:rFonts w:hint="eastAsia" w:ascii="仿宋" w:hAnsi="仿宋" w:eastAsia="仿宋" w:cs="仿宋"/>
              <w:highlight w:val="none"/>
              <w:lang w:val="en-US" w:eastAsia="zh-CN"/>
            </w:rPr>
            <w:t>1.</w:t>
          </w:r>
          <w:r>
            <w:rPr>
              <w:rFonts w:hint="eastAsia" w:ascii="仿宋" w:hAnsi="仿宋" w:eastAsia="仿宋" w:cs="仿宋"/>
              <w:highlight w:val="none"/>
              <w:lang w:eastAsia="zh-CN"/>
            </w:rPr>
            <w:t>采购</w:t>
          </w:r>
          <w:r>
            <w:rPr>
              <w:rFonts w:hint="eastAsia" w:ascii="仿宋" w:hAnsi="仿宋" w:eastAsia="仿宋" w:cs="仿宋"/>
              <w:highlight w:val="none"/>
            </w:rPr>
            <w:t>项目概况</w:t>
          </w:r>
          <w:r>
            <w:tab/>
          </w:r>
          <w:r>
            <w:fldChar w:fldCharType="begin"/>
          </w:r>
          <w:r>
            <w:instrText xml:space="preserve"> PAGEREF _Toc14038 \h </w:instrText>
          </w:r>
          <w:r>
            <w:fldChar w:fldCharType="separate"/>
          </w:r>
          <w:r>
            <w:t>6</w:t>
          </w:r>
          <w:r>
            <w:fldChar w:fldCharType="end"/>
          </w:r>
          <w:r>
            <w:fldChar w:fldCharType="end"/>
          </w:r>
        </w:p>
        <w:p w14:paraId="390C9382">
          <w:pPr>
            <w:pStyle w:val="18"/>
            <w:tabs>
              <w:tab w:val="right" w:leader="dot" w:pos="8306"/>
            </w:tabs>
          </w:pPr>
          <w:r>
            <w:fldChar w:fldCharType="begin"/>
          </w:r>
          <w:r>
            <w:instrText xml:space="preserve"> HYPERLINK \l _Toc4925 </w:instrText>
          </w:r>
          <w:r>
            <w:fldChar w:fldCharType="separate"/>
          </w:r>
          <w:r>
            <w:rPr>
              <w:rFonts w:hint="eastAsia" w:ascii="仿宋" w:hAnsi="仿宋" w:eastAsia="仿宋" w:cs="仿宋"/>
              <w:kern w:val="2"/>
              <w:szCs w:val="24"/>
              <w:highlight w:val="none"/>
              <w:lang w:val="en-US" w:eastAsia="zh-CN" w:bidi="ar-SA"/>
            </w:rPr>
            <w:t>2.采购范围、交货期、交货地点和质量标准</w:t>
          </w:r>
          <w:r>
            <w:tab/>
          </w:r>
          <w:r>
            <w:fldChar w:fldCharType="begin"/>
          </w:r>
          <w:r>
            <w:instrText xml:space="preserve"> PAGEREF _Toc4925 \h </w:instrText>
          </w:r>
          <w:r>
            <w:fldChar w:fldCharType="separate"/>
          </w:r>
          <w:r>
            <w:t>6</w:t>
          </w:r>
          <w:r>
            <w:fldChar w:fldCharType="end"/>
          </w:r>
          <w:r>
            <w:fldChar w:fldCharType="end"/>
          </w:r>
        </w:p>
        <w:p w14:paraId="06147442">
          <w:pPr>
            <w:pStyle w:val="18"/>
            <w:tabs>
              <w:tab w:val="right" w:leader="dot" w:pos="8306"/>
            </w:tabs>
          </w:pPr>
          <w:r>
            <w:fldChar w:fldCharType="begin"/>
          </w:r>
          <w:r>
            <w:instrText xml:space="preserve"> HYPERLINK \l _Toc1730 </w:instrText>
          </w:r>
          <w:r>
            <w:fldChar w:fldCharType="separate"/>
          </w:r>
          <w:r>
            <w:rPr>
              <w:rFonts w:hint="eastAsia" w:ascii="仿宋" w:hAnsi="仿宋" w:eastAsia="仿宋" w:cs="仿宋"/>
              <w:highlight w:val="none"/>
              <w:lang w:val="en-US" w:eastAsia="zh-CN"/>
            </w:rPr>
            <w:t>3.供应商资格要求</w:t>
          </w:r>
          <w:r>
            <w:tab/>
          </w:r>
          <w:r>
            <w:fldChar w:fldCharType="begin"/>
          </w:r>
          <w:r>
            <w:instrText xml:space="preserve"> PAGEREF _Toc1730 \h </w:instrText>
          </w:r>
          <w:r>
            <w:fldChar w:fldCharType="separate"/>
          </w:r>
          <w:r>
            <w:t>8</w:t>
          </w:r>
          <w:r>
            <w:fldChar w:fldCharType="end"/>
          </w:r>
          <w:r>
            <w:fldChar w:fldCharType="end"/>
          </w:r>
        </w:p>
        <w:p w14:paraId="2FE6E558">
          <w:pPr>
            <w:pStyle w:val="18"/>
            <w:tabs>
              <w:tab w:val="right" w:leader="dot" w:pos="8306"/>
            </w:tabs>
          </w:pPr>
          <w:r>
            <w:fldChar w:fldCharType="begin"/>
          </w:r>
          <w:r>
            <w:instrText xml:space="preserve"> HYPERLINK \l _Toc6514 </w:instrText>
          </w:r>
          <w:r>
            <w:fldChar w:fldCharType="separate"/>
          </w:r>
          <w:r>
            <w:rPr>
              <w:rFonts w:hint="eastAsia" w:ascii="仿宋" w:hAnsi="仿宋" w:eastAsia="仿宋" w:cs="仿宋"/>
              <w:highlight w:val="none"/>
              <w:lang w:val="en-US" w:eastAsia="zh-CN"/>
            </w:rPr>
            <w:t>4.供应商不得存在的情形</w:t>
          </w:r>
          <w:r>
            <w:tab/>
          </w:r>
          <w:r>
            <w:fldChar w:fldCharType="begin"/>
          </w:r>
          <w:r>
            <w:instrText xml:space="preserve"> PAGEREF _Toc6514 \h </w:instrText>
          </w:r>
          <w:r>
            <w:fldChar w:fldCharType="separate"/>
          </w:r>
          <w:r>
            <w:t>9</w:t>
          </w:r>
          <w:r>
            <w:fldChar w:fldCharType="end"/>
          </w:r>
          <w:r>
            <w:fldChar w:fldCharType="end"/>
          </w:r>
        </w:p>
        <w:p w14:paraId="115591D4">
          <w:pPr>
            <w:pStyle w:val="18"/>
            <w:tabs>
              <w:tab w:val="right" w:leader="dot" w:pos="8306"/>
            </w:tabs>
          </w:pPr>
          <w:r>
            <w:fldChar w:fldCharType="begin"/>
          </w:r>
          <w:r>
            <w:instrText xml:space="preserve"> HYPERLINK \l _Toc17239 </w:instrText>
          </w:r>
          <w:r>
            <w:fldChar w:fldCharType="separate"/>
          </w:r>
          <w:r>
            <w:rPr>
              <w:rFonts w:hint="eastAsia" w:ascii="仿宋" w:hAnsi="仿宋" w:eastAsia="仿宋" w:cs="仿宋"/>
              <w:kern w:val="0"/>
              <w:szCs w:val="20"/>
              <w:highlight w:val="none"/>
              <w:lang w:val="en-US" w:eastAsia="zh-CN" w:bidi="ar-SA"/>
            </w:rPr>
            <w:t>5.合同价款</w:t>
          </w:r>
          <w:r>
            <w:tab/>
          </w:r>
          <w:r>
            <w:fldChar w:fldCharType="begin"/>
          </w:r>
          <w:r>
            <w:instrText xml:space="preserve"> PAGEREF _Toc17239 \h </w:instrText>
          </w:r>
          <w:r>
            <w:fldChar w:fldCharType="separate"/>
          </w:r>
          <w:r>
            <w:t>9</w:t>
          </w:r>
          <w:r>
            <w:fldChar w:fldCharType="end"/>
          </w:r>
          <w:r>
            <w:fldChar w:fldCharType="end"/>
          </w:r>
        </w:p>
        <w:p w14:paraId="3BE0DED2">
          <w:pPr>
            <w:pStyle w:val="18"/>
            <w:tabs>
              <w:tab w:val="right" w:leader="dot" w:pos="8306"/>
            </w:tabs>
          </w:pPr>
          <w:r>
            <w:fldChar w:fldCharType="begin"/>
          </w:r>
          <w:r>
            <w:instrText xml:space="preserve"> HYPERLINK \l _Toc25275 </w:instrText>
          </w:r>
          <w:r>
            <w:fldChar w:fldCharType="separate"/>
          </w:r>
          <w:r>
            <w:rPr>
              <w:rFonts w:hint="eastAsia" w:ascii="仿宋" w:hAnsi="仿宋" w:eastAsia="仿宋" w:cs="仿宋"/>
              <w:highlight w:val="none"/>
              <w:lang w:val="en-US" w:eastAsia="zh-CN"/>
            </w:rPr>
            <w:t>6.其他需说明的事项</w:t>
          </w:r>
          <w:r>
            <w:tab/>
          </w:r>
          <w:r>
            <w:fldChar w:fldCharType="begin"/>
          </w:r>
          <w:r>
            <w:instrText xml:space="preserve"> PAGEREF _Toc25275 \h </w:instrText>
          </w:r>
          <w:r>
            <w:fldChar w:fldCharType="separate"/>
          </w:r>
          <w:r>
            <w:t>11</w:t>
          </w:r>
          <w:r>
            <w:fldChar w:fldCharType="end"/>
          </w:r>
          <w:r>
            <w:fldChar w:fldCharType="end"/>
          </w:r>
        </w:p>
        <w:p w14:paraId="36B986F3">
          <w:pPr>
            <w:pStyle w:val="17"/>
            <w:tabs>
              <w:tab w:val="right" w:leader="dot" w:pos="8306"/>
            </w:tabs>
          </w:pPr>
          <w:r>
            <w:fldChar w:fldCharType="begin"/>
          </w:r>
          <w:r>
            <w:instrText xml:space="preserve"> HYPERLINK \l _Toc9346 </w:instrText>
          </w:r>
          <w:r>
            <w:fldChar w:fldCharType="separate"/>
          </w:r>
          <w:r>
            <w:rPr>
              <w:rFonts w:hint="eastAsia" w:ascii="仿宋" w:hAnsi="仿宋" w:eastAsia="仿宋" w:cs="仿宋"/>
              <w:highlight w:val="none"/>
              <w:lang w:val="en-US" w:eastAsia="zh-CN"/>
            </w:rPr>
            <w:t>第三章 评审办法</w:t>
          </w:r>
          <w:r>
            <w:tab/>
          </w:r>
          <w:r>
            <w:fldChar w:fldCharType="begin"/>
          </w:r>
          <w:r>
            <w:instrText xml:space="preserve"> PAGEREF _Toc9346 \h </w:instrText>
          </w:r>
          <w:r>
            <w:fldChar w:fldCharType="separate"/>
          </w:r>
          <w:r>
            <w:t>12</w:t>
          </w:r>
          <w:r>
            <w:fldChar w:fldCharType="end"/>
          </w:r>
          <w:r>
            <w:fldChar w:fldCharType="end"/>
          </w:r>
        </w:p>
        <w:p w14:paraId="3F548393">
          <w:pPr>
            <w:pStyle w:val="18"/>
            <w:tabs>
              <w:tab w:val="right" w:leader="dot" w:pos="8306"/>
            </w:tabs>
          </w:pPr>
          <w:r>
            <w:fldChar w:fldCharType="begin"/>
          </w:r>
          <w:r>
            <w:instrText xml:space="preserve"> HYPERLINK \l _Toc22978 </w:instrText>
          </w:r>
          <w:r>
            <w:fldChar w:fldCharType="separate"/>
          </w:r>
          <w:r>
            <w:rPr>
              <w:rFonts w:hint="eastAsia" w:ascii="仿宋" w:hAnsi="仿宋" w:eastAsia="仿宋" w:cs="仿宋"/>
              <w:highlight w:val="none"/>
            </w:rPr>
            <w:t>1.评</w:t>
          </w:r>
          <w:r>
            <w:rPr>
              <w:rFonts w:hint="eastAsia" w:ascii="仿宋" w:hAnsi="仿宋" w:eastAsia="仿宋" w:cs="仿宋"/>
              <w:highlight w:val="none"/>
              <w:lang w:val="en-US" w:eastAsia="zh-CN"/>
            </w:rPr>
            <w:t>审</w:t>
          </w:r>
          <w:r>
            <w:rPr>
              <w:rFonts w:hint="eastAsia" w:ascii="仿宋" w:hAnsi="仿宋" w:eastAsia="仿宋" w:cs="仿宋"/>
              <w:highlight w:val="none"/>
            </w:rPr>
            <w:t>办法</w:t>
          </w:r>
          <w:r>
            <w:tab/>
          </w:r>
          <w:r>
            <w:fldChar w:fldCharType="begin"/>
          </w:r>
          <w:r>
            <w:instrText xml:space="preserve"> PAGEREF _Toc22978 \h </w:instrText>
          </w:r>
          <w:r>
            <w:fldChar w:fldCharType="separate"/>
          </w:r>
          <w:r>
            <w:t>12</w:t>
          </w:r>
          <w:r>
            <w:fldChar w:fldCharType="end"/>
          </w:r>
          <w:r>
            <w:fldChar w:fldCharType="end"/>
          </w:r>
        </w:p>
        <w:p w14:paraId="042217ED">
          <w:pPr>
            <w:pStyle w:val="18"/>
            <w:tabs>
              <w:tab w:val="right" w:leader="dot" w:pos="8306"/>
            </w:tabs>
          </w:pPr>
          <w:r>
            <w:fldChar w:fldCharType="begin"/>
          </w:r>
          <w:r>
            <w:instrText xml:space="preserve"> HYPERLINK \l _Toc31478 </w:instrText>
          </w:r>
          <w:r>
            <w:fldChar w:fldCharType="separate"/>
          </w:r>
          <w:r>
            <w:rPr>
              <w:rFonts w:hint="eastAsia" w:ascii="仿宋" w:hAnsi="仿宋" w:eastAsia="仿宋" w:cs="仿宋"/>
              <w:highlight w:val="none"/>
            </w:rPr>
            <w:t>2.</w:t>
          </w:r>
          <w:r>
            <w:rPr>
              <w:rFonts w:hint="eastAsia" w:ascii="仿宋" w:hAnsi="仿宋" w:eastAsia="仿宋" w:cs="仿宋"/>
              <w:highlight w:val="none"/>
              <w:lang w:val="en-US" w:eastAsia="zh-CN"/>
            </w:rPr>
            <w:t>初步评审</w:t>
          </w:r>
          <w:r>
            <w:tab/>
          </w:r>
          <w:r>
            <w:fldChar w:fldCharType="begin"/>
          </w:r>
          <w:r>
            <w:instrText xml:space="preserve"> PAGEREF _Toc31478 \h </w:instrText>
          </w:r>
          <w:r>
            <w:fldChar w:fldCharType="separate"/>
          </w:r>
          <w:r>
            <w:t>12</w:t>
          </w:r>
          <w:r>
            <w:fldChar w:fldCharType="end"/>
          </w:r>
          <w:r>
            <w:fldChar w:fldCharType="end"/>
          </w:r>
        </w:p>
        <w:p w14:paraId="19406812">
          <w:pPr>
            <w:pStyle w:val="18"/>
            <w:tabs>
              <w:tab w:val="right" w:leader="dot" w:pos="8306"/>
            </w:tabs>
          </w:pPr>
          <w:r>
            <w:fldChar w:fldCharType="begin"/>
          </w:r>
          <w:r>
            <w:instrText xml:space="preserve"> HYPERLINK \l _Toc627 </w:instrText>
          </w:r>
          <w:r>
            <w:fldChar w:fldCharType="separate"/>
          </w:r>
          <w:r>
            <w:rPr>
              <w:rFonts w:hint="eastAsia" w:ascii="仿宋" w:hAnsi="仿宋" w:eastAsia="仿宋" w:cs="仿宋"/>
              <w:highlight w:val="none"/>
            </w:rPr>
            <w:t>3.</w:t>
          </w:r>
          <w:r>
            <w:rPr>
              <w:rFonts w:hint="eastAsia" w:ascii="仿宋" w:hAnsi="仿宋" w:eastAsia="仿宋" w:cs="仿宋"/>
              <w:highlight w:val="none"/>
              <w:lang w:val="en-US" w:eastAsia="zh-CN"/>
            </w:rPr>
            <w:t>价格</w:t>
          </w:r>
          <w:r>
            <w:rPr>
              <w:rFonts w:hint="eastAsia" w:ascii="仿宋" w:hAnsi="仿宋" w:eastAsia="仿宋" w:cs="仿宋"/>
              <w:highlight w:val="none"/>
            </w:rPr>
            <w:t>评审</w:t>
          </w:r>
          <w:r>
            <w:tab/>
          </w:r>
          <w:r>
            <w:fldChar w:fldCharType="begin"/>
          </w:r>
          <w:r>
            <w:instrText xml:space="preserve"> PAGEREF _Toc627 \h </w:instrText>
          </w:r>
          <w:r>
            <w:fldChar w:fldCharType="separate"/>
          </w:r>
          <w:r>
            <w:t>13</w:t>
          </w:r>
          <w:r>
            <w:fldChar w:fldCharType="end"/>
          </w:r>
          <w:r>
            <w:fldChar w:fldCharType="end"/>
          </w:r>
        </w:p>
        <w:p w14:paraId="07EEE6E6">
          <w:pPr>
            <w:pStyle w:val="18"/>
            <w:tabs>
              <w:tab w:val="right" w:leader="dot" w:pos="8306"/>
            </w:tabs>
          </w:pPr>
          <w:r>
            <w:fldChar w:fldCharType="begin"/>
          </w:r>
          <w:r>
            <w:instrText xml:space="preserve"> HYPERLINK \l _Toc24803 </w:instrText>
          </w:r>
          <w:r>
            <w:fldChar w:fldCharType="separate"/>
          </w:r>
          <w:r>
            <w:rPr>
              <w:rFonts w:hint="eastAsia" w:ascii="仿宋" w:hAnsi="仿宋" w:eastAsia="仿宋" w:cs="仿宋"/>
              <w:highlight w:val="none"/>
              <w:lang w:val="en-US" w:eastAsia="zh-CN"/>
            </w:rPr>
            <w:t>4.评审</w:t>
          </w:r>
          <w:r>
            <w:rPr>
              <w:rFonts w:hint="eastAsia" w:ascii="仿宋" w:hAnsi="仿宋" w:eastAsia="仿宋" w:cs="仿宋"/>
              <w:highlight w:val="none"/>
            </w:rPr>
            <w:t>结果</w:t>
          </w:r>
          <w:r>
            <w:tab/>
          </w:r>
          <w:r>
            <w:fldChar w:fldCharType="begin"/>
          </w:r>
          <w:r>
            <w:instrText xml:space="preserve"> PAGEREF _Toc24803 \h </w:instrText>
          </w:r>
          <w:r>
            <w:fldChar w:fldCharType="separate"/>
          </w:r>
          <w:r>
            <w:t>13</w:t>
          </w:r>
          <w:r>
            <w:fldChar w:fldCharType="end"/>
          </w:r>
          <w:r>
            <w:fldChar w:fldCharType="end"/>
          </w:r>
        </w:p>
        <w:p w14:paraId="4EAC0852">
          <w:pPr>
            <w:pStyle w:val="17"/>
            <w:tabs>
              <w:tab w:val="right" w:leader="dot" w:pos="8306"/>
            </w:tabs>
          </w:pPr>
          <w:r>
            <w:fldChar w:fldCharType="begin"/>
          </w:r>
          <w:r>
            <w:instrText xml:space="preserve"> HYPERLINK \l _Toc1097 </w:instrText>
          </w:r>
          <w:r>
            <w:fldChar w:fldCharType="separate"/>
          </w:r>
          <w:r>
            <w:rPr>
              <w:rFonts w:hint="eastAsia" w:ascii="仿宋" w:hAnsi="仿宋" w:eastAsia="仿宋" w:cs="仿宋"/>
              <w:highlight w:val="none"/>
            </w:rPr>
            <w:t>第</w:t>
          </w:r>
          <w:r>
            <w:rPr>
              <w:rFonts w:hint="eastAsia" w:ascii="仿宋" w:hAnsi="仿宋" w:eastAsia="仿宋" w:cs="仿宋"/>
              <w:highlight w:val="none"/>
              <w:lang w:val="en-US" w:eastAsia="zh-CN"/>
            </w:rPr>
            <w:t>四</w:t>
          </w:r>
          <w:r>
            <w:rPr>
              <w:rFonts w:hint="eastAsia" w:ascii="仿宋" w:hAnsi="仿宋" w:eastAsia="仿宋" w:cs="仿宋"/>
              <w:highlight w:val="none"/>
            </w:rPr>
            <w:t>章</w:t>
          </w:r>
          <w:r>
            <w:rPr>
              <w:rFonts w:hint="eastAsia" w:ascii="仿宋" w:hAnsi="仿宋" w:eastAsia="仿宋" w:cs="仿宋"/>
              <w:highlight w:val="none"/>
              <w:lang w:val="en-US" w:eastAsia="zh-CN"/>
            </w:rPr>
            <w:t xml:space="preserve"> 响应</w:t>
          </w:r>
          <w:r>
            <w:rPr>
              <w:rFonts w:hint="eastAsia" w:ascii="仿宋" w:hAnsi="仿宋" w:eastAsia="仿宋" w:cs="仿宋"/>
              <w:highlight w:val="none"/>
            </w:rPr>
            <w:t>文件格式</w:t>
          </w:r>
          <w:r>
            <w:tab/>
          </w:r>
          <w:r>
            <w:fldChar w:fldCharType="begin"/>
          </w:r>
          <w:r>
            <w:instrText xml:space="preserve"> PAGEREF _Toc1097 \h </w:instrText>
          </w:r>
          <w:r>
            <w:fldChar w:fldCharType="separate"/>
          </w:r>
          <w:r>
            <w:t>14</w:t>
          </w:r>
          <w:r>
            <w:fldChar w:fldCharType="end"/>
          </w:r>
          <w:r>
            <w:fldChar w:fldCharType="end"/>
          </w:r>
        </w:p>
        <w:p w14:paraId="43A7C855">
          <w:pPr>
            <w:pStyle w:val="18"/>
            <w:tabs>
              <w:tab w:val="right" w:leader="dot" w:pos="8306"/>
            </w:tabs>
          </w:pPr>
          <w:r>
            <w:fldChar w:fldCharType="begin"/>
          </w:r>
          <w:r>
            <w:instrText xml:space="preserve"> HYPERLINK \l _Toc17828 </w:instrText>
          </w:r>
          <w:r>
            <w:fldChar w:fldCharType="separate"/>
          </w:r>
          <w:r>
            <w:rPr>
              <w:rFonts w:hint="eastAsia" w:ascii="仿宋" w:hAnsi="仿宋" w:eastAsia="仿宋" w:cs="仿宋"/>
              <w:szCs w:val="36"/>
              <w:highlight w:val="none"/>
            </w:rPr>
            <w:t>报  价  函</w:t>
          </w:r>
          <w:r>
            <w:tab/>
          </w:r>
          <w:r>
            <w:fldChar w:fldCharType="begin"/>
          </w:r>
          <w:r>
            <w:instrText xml:space="preserve"> PAGEREF _Toc17828 \h </w:instrText>
          </w:r>
          <w:r>
            <w:fldChar w:fldCharType="separate"/>
          </w:r>
          <w:r>
            <w:t>15</w:t>
          </w:r>
          <w:r>
            <w:fldChar w:fldCharType="end"/>
          </w:r>
          <w:r>
            <w:fldChar w:fldCharType="end"/>
          </w:r>
        </w:p>
        <w:p w14:paraId="4DB2C2DD">
          <w:pPr>
            <w:pStyle w:val="18"/>
            <w:tabs>
              <w:tab w:val="right" w:leader="dot" w:pos="8306"/>
            </w:tabs>
          </w:pPr>
          <w:r>
            <w:fldChar w:fldCharType="begin"/>
          </w:r>
          <w:r>
            <w:instrText xml:space="preserve"> HYPERLINK \l _Toc2011 </w:instrText>
          </w:r>
          <w:r>
            <w:fldChar w:fldCharType="separate"/>
          </w:r>
          <w:r>
            <w:rPr>
              <w:rFonts w:hint="eastAsia" w:ascii="仿宋" w:hAnsi="仿宋" w:eastAsia="仿宋" w:cs="仿宋"/>
              <w:szCs w:val="36"/>
              <w:highlight w:val="none"/>
            </w:rPr>
            <w:t>资格审查资料</w:t>
          </w:r>
          <w:r>
            <w:tab/>
          </w:r>
          <w:r>
            <w:fldChar w:fldCharType="begin"/>
          </w:r>
          <w:r>
            <w:instrText xml:space="preserve"> PAGEREF _Toc2011 \h </w:instrText>
          </w:r>
          <w:r>
            <w:fldChar w:fldCharType="separate"/>
          </w:r>
          <w:r>
            <w:t>16</w:t>
          </w:r>
          <w:r>
            <w:fldChar w:fldCharType="end"/>
          </w:r>
          <w:r>
            <w:fldChar w:fldCharType="end"/>
          </w:r>
        </w:p>
        <w:p w14:paraId="11ABD83A">
          <w:pPr>
            <w:pStyle w:val="18"/>
            <w:tabs>
              <w:tab w:val="right" w:leader="dot" w:pos="8306"/>
            </w:tabs>
          </w:pPr>
          <w:r>
            <w:fldChar w:fldCharType="begin"/>
          </w:r>
          <w:r>
            <w:instrText xml:space="preserve"> HYPERLINK \l _Toc21392 </w:instrText>
          </w:r>
          <w:r>
            <w:fldChar w:fldCharType="separate"/>
          </w:r>
          <w:r>
            <w:rPr>
              <w:rFonts w:hint="eastAsia" w:ascii="仿宋" w:hAnsi="仿宋" w:eastAsia="仿宋" w:cs="仿宋"/>
              <w:bCs/>
              <w:szCs w:val="30"/>
              <w:highlight w:val="none"/>
            </w:rPr>
            <w:t>授权委托书（适用于有委托代理人的情况）</w:t>
          </w:r>
          <w:r>
            <w:tab/>
          </w:r>
          <w:r>
            <w:fldChar w:fldCharType="begin"/>
          </w:r>
          <w:r>
            <w:instrText xml:space="preserve"> PAGEREF _Toc21392 \h </w:instrText>
          </w:r>
          <w:r>
            <w:fldChar w:fldCharType="separate"/>
          </w:r>
          <w:r>
            <w:t>19</w:t>
          </w:r>
          <w:r>
            <w:fldChar w:fldCharType="end"/>
          </w:r>
          <w:r>
            <w:fldChar w:fldCharType="end"/>
          </w:r>
        </w:p>
        <w:p w14:paraId="1E02EDC3">
          <w:pPr>
            <w:pStyle w:val="18"/>
            <w:tabs>
              <w:tab w:val="right" w:leader="dot" w:pos="8306"/>
            </w:tabs>
          </w:pPr>
          <w:r>
            <w:fldChar w:fldCharType="begin"/>
          </w:r>
          <w:r>
            <w:instrText xml:space="preserve"> HYPERLINK \l _Toc2516 </w:instrText>
          </w:r>
          <w:r>
            <w:fldChar w:fldCharType="separate"/>
          </w:r>
          <w:r>
            <w:rPr>
              <w:rFonts w:hint="eastAsia" w:ascii="仿宋" w:hAnsi="仿宋" w:eastAsia="仿宋" w:cs="仿宋"/>
              <w:bCs w:val="0"/>
              <w:szCs w:val="30"/>
              <w:highlight w:val="none"/>
            </w:rPr>
            <w:t>信誉承诺表</w:t>
          </w:r>
          <w:r>
            <w:tab/>
          </w:r>
          <w:r>
            <w:fldChar w:fldCharType="begin"/>
          </w:r>
          <w:r>
            <w:instrText xml:space="preserve"> PAGEREF _Toc2516 \h </w:instrText>
          </w:r>
          <w:r>
            <w:fldChar w:fldCharType="separate"/>
          </w:r>
          <w:r>
            <w:t>20</w:t>
          </w:r>
          <w:r>
            <w:fldChar w:fldCharType="end"/>
          </w:r>
          <w:r>
            <w:fldChar w:fldCharType="end"/>
          </w:r>
        </w:p>
        <w:p w14:paraId="14E6B3CB">
          <w:r>
            <w:fldChar w:fldCharType="end"/>
          </w:r>
        </w:p>
      </w:sdtContent>
    </w:sdt>
    <w:p w14:paraId="626F7CB5"/>
    <w:p w14:paraId="00AD2795"/>
    <w:p w14:paraId="43C38B17">
      <w:pPr>
        <w:pStyle w:val="11"/>
        <w:numPr>
          <w:ilvl w:val="0"/>
          <w:numId w:val="0"/>
        </w:numPr>
        <w:ind w:left="720" w:leftChars="0"/>
        <w:rPr>
          <w:rFonts w:hint="eastAsia" w:ascii="仿宋" w:hAnsi="仿宋" w:eastAsia="仿宋" w:cs="仿宋"/>
          <w:b/>
          <w:color w:val="auto"/>
          <w:kern w:val="0"/>
          <w:highlight w:val="none"/>
          <w:lang w:val="en-US" w:eastAsia="zh-CN"/>
        </w:rPr>
      </w:pPr>
    </w:p>
    <w:p w14:paraId="68D23DA8">
      <w:pPr>
        <w:ind w:left="720"/>
        <w:rPr>
          <w:rFonts w:hint="eastAsia"/>
          <w:lang w:eastAsia="zh-CN"/>
        </w:rPr>
      </w:pPr>
      <w:r>
        <w:rPr>
          <w:rFonts w:hint="eastAsia" w:ascii="仿宋" w:hAnsi="仿宋" w:eastAsia="仿宋" w:cs="仿宋"/>
          <w:b/>
          <w:color w:val="auto"/>
          <w:spacing w:val="1440"/>
          <w:kern w:val="0"/>
          <w:highlight w:val="none"/>
          <w:fitText w:val="1680" w:id="1332357556"/>
          <w:lang w:val="en-US" w:eastAsia="zh-CN"/>
        </w:rPr>
        <w:br w:type="page"/>
      </w:r>
    </w:p>
    <w:p w14:paraId="1250A4D2">
      <w:pPr>
        <w:pStyle w:val="2"/>
        <w:numPr>
          <w:ilvl w:val="0"/>
          <w:numId w:val="0"/>
        </w:numPr>
        <w:spacing w:before="200" w:after="200" w:line="560" w:lineRule="exact"/>
        <w:jc w:val="center"/>
        <w:rPr>
          <w:rFonts w:hint="eastAsia" w:ascii="仿宋" w:hAnsi="仿宋" w:eastAsia="仿宋" w:cs="仿宋"/>
          <w:color w:val="auto"/>
          <w:highlight w:val="none"/>
        </w:rPr>
      </w:pPr>
      <w:bookmarkStart w:id="0" w:name="_Toc1558"/>
      <w:bookmarkStart w:id="1" w:name="_Toc18604"/>
      <w:r>
        <w:rPr>
          <w:rFonts w:hint="eastAsia" w:ascii="仿宋" w:hAnsi="仿宋" w:eastAsia="仿宋" w:cs="仿宋"/>
          <w:color w:val="auto"/>
          <w:highlight w:val="none"/>
        </w:rPr>
        <w:t>第一章</w:t>
      </w:r>
      <w:r>
        <w:rPr>
          <w:rFonts w:hint="eastAsia" w:ascii="仿宋" w:hAnsi="仿宋" w:eastAsia="仿宋" w:cs="仿宋"/>
          <w:color w:val="auto"/>
          <w:highlight w:val="none"/>
          <w:lang w:val="en-US" w:eastAsia="zh-CN"/>
        </w:rPr>
        <w:t xml:space="preserve"> 征集</w:t>
      </w:r>
      <w:r>
        <w:rPr>
          <w:rFonts w:hint="eastAsia" w:ascii="仿宋" w:hAnsi="仿宋" w:eastAsia="仿宋" w:cs="仿宋"/>
          <w:color w:val="auto"/>
          <w:highlight w:val="none"/>
        </w:rPr>
        <w:t>公告</w:t>
      </w:r>
      <w:bookmarkEnd w:id="0"/>
      <w:bookmarkEnd w:id="1"/>
    </w:p>
    <w:p w14:paraId="471648DA">
      <w:pPr>
        <w:spacing w:line="560" w:lineRule="exact"/>
        <w:jc w:val="center"/>
        <w:rPr>
          <w:rFonts w:hint="eastAsia" w:ascii="仿宋" w:hAnsi="仿宋" w:eastAsia="仿宋" w:cs="仿宋"/>
          <w:b/>
          <w:bCs/>
          <w:color w:val="auto"/>
          <w:sz w:val="30"/>
          <w:szCs w:val="30"/>
          <w:highlight w:val="none"/>
          <w:lang w:val="en-US" w:eastAsia="zh-CN"/>
        </w:rPr>
      </w:pPr>
      <w:r>
        <w:rPr>
          <w:rFonts w:hint="eastAsia" w:ascii="仿宋" w:hAnsi="仿宋" w:eastAsia="仿宋" w:cs="仿宋"/>
          <w:b/>
          <w:bCs/>
          <w:color w:val="auto"/>
          <w:sz w:val="30"/>
          <w:szCs w:val="30"/>
          <w:highlight w:val="none"/>
          <w:lang w:val="en-US" w:eastAsia="zh-CN"/>
        </w:rPr>
        <w:t>赣州景区建设运营有限公司猪肉类产品2026-2027年度框架协议供应商入围征集项目征集公告</w:t>
      </w:r>
    </w:p>
    <w:p w14:paraId="06EFEF1A">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 w:name="_Toc8410"/>
      <w:bookmarkStart w:id="3" w:name="_Toc14842"/>
      <w:r>
        <w:rPr>
          <w:rFonts w:hint="eastAsia" w:ascii="仿宋" w:hAnsi="仿宋" w:eastAsia="仿宋" w:cs="仿宋"/>
          <w:b/>
          <w:color w:val="auto"/>
          <w:kern w:val="2"/>
          <w:sz w:val="28"/>
          <w:szCs w:val="28"/>
          <w:lang w:val="en-US" w:eastAsia="zh-CN" w:bidi="ar-SA"/>
        </w:rPr>
        <w:t>1.</w:t>
      </w:r>
      <w:r>
        <w:rPr>
          <w:rFonts w:hint="eastAsia" w:ascii="仿宋" w:hAnsi="仿宋" w:eastAsia="仿宋" w:cs="仿宋"/>
          <w:color w:val="auto"/>
          <w:sz w:val="28"/>
          <w:szCs w:val="28"/>
          <w:highlight w:val="none"/>
          <w:lang w:eastAsia="zh-CN"/>
        </w:rPr>
        <w:t>采购</w:t>
      </w:r>
      <w:r>
        <w:rPr>
          <w:rFonts w:hint="eastAsia" w:ascii="仿宋" w:hAnsi="仿宋" w:eastAsia="仿宋" w:cs="仿宋"/>
          <w:color w:val="auto"/>
          <w:sz w:val="28"/>
          <w:szCs w:val="28"/>
          <w:highlight w:val="none"/>
        </w:rPr>
        <w:t>条件</w:t>
      </w:r>
      <w:bookmarkEnd w:id="2"/>
      <w:bookmarkEnd w:id="3"/>
    </w:p>
    <w:p w14:paraId="07CF5638">
      <w:pPr>
        <w:pStyle w:val="63"/>
        <w:shd w:val="clear" w:color="auto" w:fill="FFFFFF"/>
        <w:spacing w:line="360" w:lineRule="auto"/>
        <w:ind w:left="0" w:leftChars="0" w:firstLine="480" w:firstLineChars="200"/>
        <w:jc w:val="left"/>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rPr>
        <w:t>本次采购项目</w:t>
      </w:r>
      <w:r>
        <w:rPr>
          <w:rStyle w:val="62"/>
          <w:rFonts w:hint="eastAsia" w:ascii="仿宋" w:hAnsi="仿宋" w:eastAsia="仿宋" w:cs="仿宋"/>
          <w:color w:val="auto"/>
          <w:sz w:val="24"/>
          <w:highlight w:val="none"/>
          <w:u w:val="single"/>
          <w:lang w:val="en-US"/>
        </w:rPr>
        <w:t>赣州景区建设运营有限公司猪肉类产品2026-2027年度框架协议供应商入围征集项目</w:t>
      </w:r>
      <w:r>
        <w:rPr>
          <w:rStyle w:val="62"/>
          <w:rFonts w:hint="eastAsia" w:ascii="仿宋" w:hAnsi="仿宋" w:eastAsia="仿宋" w:cs="仿宋"/>
          <w:color w:val="auto"/>
          <w:sz w:val="24"/>
          <w:highlight w:val="none"/>
          <w:lang w:val="en-US"/>
        </w:rPr>
        <w:t>，采购人为</w:t>
      </w:r>
      <w:r>
        <w:rPr>
          <w:rStyle w:val="62"/>
          <w:rFonts w:hint="eastAsia" w:ascii="仿宋" w:hAnsi="仿宋" w:eastAsia="仿宋" w:cs="仿宋"/>
          <w:color w:val="auto"/>
          <w:sz w:val="24"/>
          <w:highlight w:val="none"/>
          <w:u w:val="single"/>
          <w:lang w:val="en-US"/>
        </w:rPr>
        <w:t>赣州景区建设运营有限公司</w:t>
      </w:r>
      <w:r>
        <w:rPr>
          <w:rStyle w:val="62"/>
          <w:rFonts w:hint="eastAsia" w:ascii="仿宋" w:hAnsi="仿宋" w:eastAsia="仿宋" w:cs="仿宋"/>
          <w:color w:val="auto"/>
          <w:sz w:val="24"/>
          <w:highlight w:val="none"/>
          <w:lang w:val="en-US"/>
        </w:rPr>
        <w:t>，合同签订单位为</w:t>
      </w:r>
      <w:r>
        <w:rPr>
          <w:rStyle w:val="62"/>
          <w:rFonts w:hint="eastAsia" w:ascii="仿宋" w:hAnsi="仿宋" w:eastAsia="仿宋" w:cs="仿宋"/>
          <w:color w:val="auto"/>
          <w:sz w:val="24"/>
          <w:highlight w:val="none"/>
          <w:u w:val="single"/>
          <w:lang w:val="en-US"/>
        </w:rPr>
        <w:t>赣州景区建设运营有限公司</w:t>
      </w:r>
      <w:r>
        <w:rPr>
          <w:rStyle w:val="62"/>
          <w:rFonts w:hint="eastAsia" w:ascii="仿宋" w:hAnsi="仿宋" w:eastAsia="仿宋" w:cs="仿宋"/>
          <w:color w:val="auto"/>
          <w:sz w:val="24"/>
          <w:highlight w:val="none"/>
          <w:lang w:val="en-US"/>
        </w:rPr>
        <w:t>，项目资金来源为</w:t>
      </w:r>
      <w:r>
        <w:rPr>
          <w:rStyle w:val="62"/>
          <w:rFonts w:hint="eastAsia" w:ascii="仿宋" w:hAnsi="仿宋" w:eastAsia="仿宋" w:cs="仿宋"/>
          <w:color w:val="auto"/>
          <w:sz w:val="24"/>
          <w:highlight w:val="none"/>
          <w:u w:val="single"/>
          <w:lang w:val="en-US"/>
        </w:rPr>
        <w:t>企业自筹</w:t>
      </w:r>
      <w:r>
        <w:rPr>
          <w:rStyle w:val="62"/>
          <w:rFonts w:hint="eastAsia" w:ascii="仿宋" w:hAnsi="仿宋" w:eastAsia="仿宋" w:cs="仿宋"/>
          <w:color w:val="auto"/>
          <w:sz w:val="24"/>
          <w:highlight w:val="none"/>
          <w:u w:val="none"/>
          <w:lang w:val="en-US"/>
        </w:rPr>
        <w:t>，出资比例为</w:t>
      </w:r>
      <w:r>
        <w:rPr>
          <w:rStyle w:val="62"/>
          <w:rFonts w:hint="eastAsia" w:ascii="仿宋" w:hAnsi="仿宋" w:eastAsia="仿宋" w:cs="仿宋"/>
          <w:color w:val="auto"/>
          <w:sz w:val="24"/>
          <w:highlight w:val="none"/>
          <w:u w:val="single"/>
          <w:lang w:val="en-US"/>
        </w:rPr>
        <w:t>100%</w:t>
      </w:r>
      <w:r>
        <w:rPr>
          <w:rStyle w:val="62"/>
          <w:rFonts w:hint="eastAsia" w:ascii="仿宋" w:hAnsi="仿宋" w:eastAsia="仿宋" w:cs="仿宋"/>
          <w:color w:val="auto"/>
          <w:sz w:val="24"/>
          <w:highlight w:val="none"/>
          <w:u w:val="none"/>
          <w:lang w:val="en-US"/>
        </w:rPr>
        <w:t>。</w:t>
      </w:r>
      <w:r>
        <w:rPr>
          <w:rStyle w:val="62"/>
          <w:rFonts w:hint="eastAsia" w:ascii="仿宋" w:hAnsi="仿宋" w:eastAsia="仿宋" w:cs="仿宋"/>
          <w:color w:val="auto"/>
          <w:sz w:val="24"/>
          <w:highlight w:val="none"/>
          <w:lang w:val="en-US"/>
        </w:rPr>
        <w:t>项目已具备采购条件，现对该项目进行公开征集入围</w:t>
      </w:r>
      <w:r>
        <w:rPr>
          <w:rStyle w:val="62"/>
          <w:rFonts w:hint="eastAsia" w:ascii="仿宋" w:hAnsi="仿宋" w:eastAsia="仿宋" w:cs="仿宋"/>
          <w:color w:val="auto"/>
          <w:sz w:val="24"/>
          <w:highlight w:val="none"/>
          <w:lang w:val="en-US" w:eastAsia="zh-CN"/>
        </w:rPr>
        <w:t>框架协议供应商</w:t>
      </w:r>
      <w:r>
        <w:rPr>
          <w:rStyle w:val="62"/>
          <w:rFonts w:hint="eastAsia" w:ascii="仿宋" w:hAnsi="仿宋" w:eastAsia="仿宋" w:cs="仿宋"/>
          <w:color w:val="auto"/>
          <w:sz w:val="24"/>
          <w:highlight w:val="none"/>
          <w:lang w:val="en-US"/>
        </w:rPr>
        <w:t>。</w:t>
      </w:r>
    </w:p>
    <w:p w14:paraId="42CB49D7">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4" w:name="_Toc21513"/>
      <w:bookmarkStart w:id="5" w:name="_Toc5478"/>
      <w:r>
        <w:rPr>
          <w:rFonts w:hint="eastAsia" w:ascii="仿宋" w:hAnsi="仿宋" w:eastAsia="仿宋" w:cs="仿宋"/>
          <w:b/>
          <w:color w:val="auto"/>
          <w:kern w:val="2"/>
          <w:sz w:val="28"/>
          <w:szCs w:val="28"/>
          <w:lang w:val="en-US" w:eastAsia="zh-CN" w:bidi="ar-SA"/>
        </w:rPr>
        <w:t>2.</w:t>
      </w:r>
      <w:r>
        <w:rPr>
          <w:rFonts w:hint="eastAsia" w:ascii="仿宋" w:hAnsi="仿宋" w:eastAsia="仿宋" w:cs="仿宋"/>
          <w:color w:val="auto"/>
          <w:sz w:val="28"/>
          <w:szCs w:val="28"/>
          <w:highlight w:val="none"/>
        </w:rPr>
        <w:t>项目概况与</w:t>
      </w:r>
      <w:r>
        <w:rPr>
          <w:rFonts w:hint="eastAsia" w:ascii="仿宋" w:hAnsi="仿宋" w:eastAsia="仿宋" w:cs="仿宋"/>
          <w:color w:val="auto"/>
          <w:sz w:val="28"/>
          <w:szCs w:val="28"/>
          <w:highlight w:val="none"/>
          <w:lang w:eastAsia="zh-CN"/>
        </w:rPr>
        <w:t>采购</w:t>
      </w:r>
      <w:r>
        <w:rPr>
          <w:rFonts w:hint="eastAsia" w:ascii="仿宋" w:hAnsi="仿宋" w:eastAsia="仿宋" w:cs="仿宋"/>
          <w:color w:val="auto"/>
          <w:sz w:val="28"/>
          <w:szCs w:val="28"/>
          <w:highlight w:val="none"/>
        </w:rPr>
        <w:t>范围</w:t>
      </w:r>
      <w:bookmarkEnd w:id="4"/>
      <w:bookmarkEnd w:id="5"/>
    </w:p>
    <w:p w14:paraId="476BDC92">
      <w:pPr>
        <w:spacing w:line="360" w:lineRule="auto"/>
        <w:ind w:firstLine="480" w:firstLineChars="200"/>
        <w:rPr>
          <w:rFonts w:hint="eastAsia" w:ascii="仿宋" w:hAnsi="仿宋" w:eastAsia="仿宋" w:cs="仿宋"/>
          <w:color w:val="auto"/>
          <w:highlight w:val="none"/>
          <w:lang w:eastAsia="zh-CN"/>
        </w:rPr>
      </w:pPr>
      <w:r>
        <w:rPr>
          <w:rFonts w:hint="eastAsia" w:ascii="仿宋" w:hAnsi="仿宋" w:eastAsia="仿宋" w:cs="仿宋"/>
          <w:color w:val="auto"/>
          <w:highlight w:val="none"/>
        </w:rPr>
        <w:t>项目名称：</w:t>
      </w:r>
      <w:r>
        <w:rPr>
          <w:rFonts w:hint="eastAsia" w:ascii="仿宋" w:hAnsi="仿宋" w:eastAsia="仿宋" w:cs="仿宋"/>
          <w:color w:val="auto"/>
          <w:highlight w:val="none"/>
          <w:lang w:eastAsia="zh-CN"/>
        </w:rPr>
        <w:t>赣州景区建设运营有限公司猪肉类产品2026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年度框架协议供应商入围征集项目</w:t>
      </w:r>
    </w:p>
    <w:p w14:paraId="28BE85D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服务期</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服务期1年，自合同签订之日起12个日历月。</w:t>
      </w:r>
    </w:p>
    <w:p w14:paraId="38A19A58">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项目需求：</w:t>
      </w:r>
    </w:p>
    <w:tbl>
      <w:tblPr>
        <w:tblStyle w:val="23"/>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36"/>
        <w:gridCol w:w="765"/>
        <w:gridCol w:w="765"/>
        <w:gridCol w:w="1668"/>
        <w:gridCol w:w="1200"/>
        <w:gridCol w:w="913"/>
      </w:tblGrid>
      <w:tr w14:paraId="6481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3336" w:type="dxa"/>
            <w:vAlign w:val="center"/>
          </w:tcPr>
          <w:p w14:paraId="2DC0683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项目名称</w:t>
            </w:r>
          </w:p>
        </w:tc>
        <w:tc>
          <w:tcPr>
            <w:tcW w:w="765" w:type="dxa"/>
            <w:vAlign w:val="center"/>
          </w:tcPr>
          <w:p w14:paraId="4718B81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数量</w:t>
            </w:r>
          </w:p>
        </w:tc>
        <w:tc>
          <w:tcPr>
            <w:tcW w:w="765" w:type="dxa"/>
            <w:vAlign w:val="center"/>
          </w:tcPr>
          <w:p w14:paraId="52010F4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单位</w:t>
            </w:r>
          </w:p>
        </w:tc>
        <w:tc>
          <w:tcPr>
            <w:tcW w:w="1668" w:type="dxa"/>
            <w:vAlign w:val="center"/>
          </w:tcPr>
          <w:p w14:paraId="355549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主要技术规格及要求</w:t>
            </w:r>
          </w:p>
        </w:tc>
        <w:tc>
          <w:tcPr>
            <w:tcW w:w="1200" w:type="dxa"/>
            <w:vAlign w:val="center"/>
          </w:tcPr>
          <w:p w14:paraId="7C519E9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交货地点</w:t>
            </w:r>
          </w:p>
        </w:tc>
        <w:tc>
          <w:tcPr>
            <w:tcW w:w="913" w:type="dxa"/>
            <w:vAlign w:val="center"/>
          </w:tcPr>
          <w:p w14:paraId="7601398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采购</w:t>
            </w:r>
          </w:p>
          <w:p w14:paraId="5C09B2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金额</w:t>
            </w:r>
          </w:p>
        </w:tc>
      </w:tr>
      <w:tr w14:paraId="4562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3336" w:type="dxa"/>
            <w:vAlign w:val="center"/>
          </w:tcPr>
          <w:p w14:paraId="1354105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lang w:eastAsia="zh-CN"/>
              </w:rPr>
              <w:t>赣州景区建设运营有限公司猪肉类产品2026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年度框架协议供应商入围征集项目</w:t>
            </w:r>
          </w:p>
        </w:tc>
        <w:tc>
          <w:tcPr>
            <w:tcW w:w="765" w:type="dxa"/>
            <w:vAlign w:val="center"/>
          </w:tcPr>
          <w:p w14:paraId="1B66248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765" w:type="dxa"/>
            <w:vAlign w:val="center"/>
          </w:tcPr>
          <w:p w14:paraId="5E33368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项</w:t>
            </w:r>
          </w:p>
        </w:tc>
        <w:tc>
          <w:tcPr>
            <w:tcW w:w="1668" w:type="dxa"/>
            <w:vAlign w:val="center"/>
          </w:tcPr>
          <w:p w14:paraId="4B6F89C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（具体内容详见</w:t>
            </w:r>
            <w:r>
              <w:rPr>
                <w:rFonts w:hint="eastAsia" w:ascii="仿宋" w:hAnsi="仿宋" w:eastAsia="仿宋" w:cs="仿宋"/>
                <w:color w:val="auto"/>
                <w:highlight w:val="none"/>
                <w:lang w:val="en-US" w:eastAsia="zh-CN"/>
              </w:rPr>
              <w:t>征集</w:t>
            </w:r>
            <w:r>
              <w:rPr>
                <w:rFonts w:hint="eastAsia" w:ascii="仿宋" w:hAnsi="仿宋" w:eastAsia="仿宋" w:cs="仿宋"/>
                <w:color w:val="auto"/>
                <w:highlight w:val="none"/>
              </w:rPr>
              <w:t>文件）</w:t>
            </w:r>
          </w:p>
        </w:tc>
        <w:tc>
          <w:tcPr>
            <w:tcW w:w="1200" w:type="dxa"/>
            <w:vAlign w:val="center"/>
          </w:tcPr>
          <w:p w14:paraId="652ECA7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赣州市中心城区</w:t>
            </w:r>
          </w:p>
        </w:tc>
        <w:tc>
          <w:tcPr>
            <w:tcW w:w="913" w:type="dxa"/>
            <w:vAlign w:val="center"/>
          </w:tcPr>
          <w:p w14:paraId="5A93821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约75万元</w:t>
            </w:r>
          </w:p>
        </w:tc>
      </w:tr>
      <w:tr w14:paraId="4BCEC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jc w:val="center"/>
        </w:trPr>
        <w:tc>
          <w:tcPr>
            <w:tcW w:w="7734" w:type="dxa"/>
            <w:gridSpan w:val="5"/>
            <w:vAlign w:val="center"/>
          </w:tcPr>
          <w:p w14:paraId="49B43A62">
            <w:pPr>
              <w:spacing w:line="240" w:lineRule="auto"/>
              <w:ind w:firstLine="480" w:firstLineChars="200"/>
              <w:jc w:val="center"/>
              <w:rPr>
                <w:rFonts w:hint="eastAsia" w:ascii="仿宋" w:hAnsi="仿宋" w:eastAsia="仿宋" w:cs="仿宋"/>
                <w:color w:val="auto"/>
                <w:highlight w:val="none"/>
              </w:rPr>
            </w:pPr>
            <w:r>
              <w:rPr>
                <w:rFonts w:hint="eastAsia" w:ascii="仿宋" w:hAnsi="仿宋" w:eastAsia="仿宋" w:cs="仿宋"/>
                <w:color w:val="auto"/>
                <w:highlight w:val="none"/>
              </w:rPr>
              <w:t>注：本项目只允许国内</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参与。</w:t>
            </w:r>
          </w:p>
        </w:tc>
        <w:tc>
          <w:tcPr>
            <w:tcW w:w="913" w:type="dxa"/>
            <w:vAlign w:val="center"/>
          </w:tcPr>
          <w:p w14:paraId="4CE66FA2">
            <w:pPr>
              <w:spacing w:line="240" w:lineRule="auto"/>
              <w:ind w:firstLine="480" w:firstLineChars="200"/>
              <w:jc w:val="center"/>
              <w:rPr>
                <w:rFonts w:hint="eastAsia" w:ascii="仿宋" w:hAnsi="仿宋" w:eastAsia="仿宋" w:cs="仿宋"/>
                <w:color w:val="auto"/>
                <w:highlight w:val="none"/>
              </w:rPr>
            </w:pPr>
          </w:p>
        </w:tc>
      </w:tr>
    </w:tbl>
    <w:p w14:paraId="4099E1BE">
      <w:pPr>
        <w:pStyle w:val="3"/>
        <w:numPr>
          <w:ilvl w:val="1"/>
          <w:numId w:val="0"/>
        </w:numPr>
        <w:spacing w:before="0" w:after="0" w:line="560" w:lineRule="exact"/>
        <w:ind w:left="0" w:leftChars="0" w:firstLine="403" w:firstLineChars="0"/>
        <w:outlineLvl w:val="9"/>
        <w:rPr>
          <w:rStyle w:val="25"/>
          <w:rFonts w:hint="eastAsia" w:ascii="仿宋" w:hAnsi="仿宋" w:eastAsia="仿宋" w:cs="仿宋"/>
          <w:b/>
          <w:color w:val="auto"/>
          <w:sz w:val="28"/>
          <w:szCs w:val="28"/>
          <w:highlight w:val="none"/>
          <w:lang w:val="en-US"/>
        </w:rPr>
      </w:pPr>
      <w:bookmarkStart w:id="6" w:name="_Toc27235"/>
      <w:bookmarkStart w:id="7" w:name="_Toc4036"/>
      <w:r>
        <w:rPr>
          <w:rFonts w:hint="eastAsia" w:ascii="仿宋" w:hAnsi="仿宋" w:eastAsia="仿宋" w:cs="仿宋"/>
          <w:b/>
          <w:color w:val="auto"/>
          <w:kern w:val="2"/>
          <w:sz w:val="28"/>
          <w:szCs w:val="28"/>
          <w:highlight w:val="none"/>
          <w:lang w:val="en-US" w:eastAsia="zh-CN" w:bidi="ar-SA"/>
        </w:rPr>
        <w:t>3.</w:t>
      </w:r>
      <w:r>
        <w:rPr>
          <w:rFonts w:hint="eastAsia" w:ascii="仿宋" w:hAnsi="仿宋" w:eastAsia="仿宋" w:cs="仿宋"/>
          <w:b/>
          <w:color w:val="auto"/>
          <w:sz w:val="28"/>
          <w:szCs w:val="28"/>
          <w:highlight w:val="none"/>
          <w:lang w:val="en-US" w:eastAsia="zh-CN"/>
        </w:rPr>
        <w:t>供应商</w:t>
      </w:r>
      <w:r>
        <w:rPr>
          <w:rFonts w:hint="eastAsia" w:ascii="仿宋" w:hAnsi="仿宋" w:eastAsia="仿宋" w:cs="仿宋"/>
          <w:b/>
          <w:color w:val="auto"/>
          <w:sz w:val="28"/>
          <w:szCs w:val="28"/>
          <w:highlight w:val="none"/>
        </w:rPr>
        <w:t>资格要求</w:t>
      </w:r>
      <w:bookmarkEnd w:id="6"/>
      <w:bookmarkEnd w:id="7"/>
    </w:p>
    <w:p w14:paraId="4424C395">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本项目资格要求</w:t>
      </w:r>
    </w:p>
    <w:p w14:paraId="231068B5">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（1）具有独立承担民事责任的能力，持有有效的营业执照；</w:t>
      </w:r>
    </w:p>
    <w:p w14:paraId="2ED5B59E">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（2）具有良好的商业信誉和健全的财务会计制度；</w:t>
      </w:r>
    </w:p>
    <w:p w14:paraId="3CD845DD">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（3）具有履行合同所必需的设备和专业技术能力；</w:t>
      </w:r>
    </w:p>
    <w:p w14:paraId="4212D316">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（4）有依法缴纳税收的良好记录；</w:t>
      </w:r>
    </w:p>
    <w:p w14:paraId="15352329">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（5）参加比选采购活动前三年内，在经营活动中没有重大违法记录。</w:t>
      </w:r>
    </w:p>
    <w:p w14:paraId="78B1971B">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（6）业绩要求：供应商近5年内（签订时间为2021年5月1日至投标截止时间前）独立承接过猪肉类产品供应项目（或供应内容中包含猪肉类产品的供应项目）至少提供1个合同。</w:t>
      </w:r>
    </w:p>
    <w:p w14:paraId="049ACA32">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其他要求</w:t>
      </w:r>
    </w:p>
    <w:p w14:paraId="76E1D44F">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（1）单位</w:t>
      </w:r>
      <w:r>
        <w:rPr>
          <w:rFonts w:hint="eastAsia" w:ascii="仿宋" w:hAnsi="仿宋" w:eastAsia="仿宋" w:cs="仿宋"/>
          <w:color w:val="auto"/>
          <w:highlight w:val="none"/>
        </w:rPr>
        <w:t>负责人为同一人或者存在直接控股、管理关系的不同供应商，不得参加同一合同项下的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77205491">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被“信用中国”网站列入失信被执行人和重大税收违法案件当事人名单的、被“中国政府采购网”网站列入政府采购严重违法失信行为记录名单（且在处罚期限内的）供应商，不得参与本项目的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08BCBFDC">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（3）供应商的分支机构不得参加本次采购，特殊行业（仅限于银行、保险、石油石化、电力、电信行业）供应商允许其分支机构参加本次采购。</w:t>
      </w:r>
    </w:p>
    <w:p w14:paraId="347B2F66">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8" w:name="_Toc11894"/>
      <w:bookmarkStart w:id="9" w:name="_Toc32044"/>
      <w:r>
        <w:rPr>
          <w:rFonts w:hint="eastAsia" w:ascii="仿宋" w:hAnsi="仿宋" w:eastAsia="仿宋" w:cs="仿宋"/>
          <w:b/>
          <w:color w:val="auto"/>
          <w:kern w:val="2"/>
          <w:sz w:val="28"/>
          <w:szCs w:val="28"/>
          <w:lang w:val="en-US" w:eastAsia="zh-CN" w:bidi="ar-SA"/>
        </w:rPr>
        <w:t>4.</w:t>
      </w:r>
      <w:r>
        <w:rPr>
          <w:rFonts w:hint="eastAsia" w:ascii="仿宋" w:hAnsi="仿宋" w:eastAsia="仿宋" w:cs="仿宋"/>
          <w:color w:val="auto"/>
          <w:sz w:val="28"/>
          <w:szCs w:val="28"/>
          <w:highlight w:val="none"/>
          <w:lang w:val="en-US" w:eastAsia="zh-CN"/>
        </w:rPr>
        <w:t>征集</w:t>
      </w:r>
      <w:r>
        <w:rPr>
          <w:rFonts w:hint="eastAsia" w:ascii="仿宋" w:hAnsi="仿宋" w:eastAsia="仿宋" w:cs="仿宋"/>
          <w:color w:val="auto"/>
          <w:sz w:val="28"/>
          <w:szCs w:val="28"/>
          <w:highlight w:val="none"/>
        </w:rPr>
        <w:t>文件的获取</w:t>
      </w:r>
      <w:bookmarkEnd w:id="8"/>
      <w:bookmarkEnd w:id="9"/>
    </w:p>
    <w:p w14:paraId="46E8E26D">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公告页自行下载附件</w:t>
      </w:r>
      <w:r>
        <w:rPr>
          <w:rFonts w:hint="eastAsia" w:ascii="仿宋" w:hAnsi="仿宋" w:eastAsia="仿宋" w:cs="仿宋"/>
          <w:color w:val="auto"/>
          <w:highlight w:val="none"/>
        </w:rPr>
        <w:t>。</w:t>
      </w:r>
    </w:p>
    <w:p w14:paraId="3B99C426">
      <w:pPr>
        <w:pStyle w:val="3"/>
        <w:numPr>
          <w:ilvl w:val="1"/>
          <w:numId w:val="0"/>
        </w:numPr>
        <w:bidi w:val="0"/>
        <w:spacing w:before="0" w:after="0" w:line="560" w:lineRule="exact"/>
        <w:ind w:left="0" w:leftChars="0" w:firstLine="403" w:firstLineChars="0"/>
        <w:outlineLvl w:val="9"/>
        <w:rPr>
          <w:rFonts w:hint="eastAsia" w:ascii="仿宋" w:hAnsi="仿宋" w:eastAsia="仿宋" w:cs="仿宋"/>
          <w:color w:val="auto"/>
          <w:sz w:val="28"/>
          <w:szCs w:val="28"/>
          <w:lang w:eastAsia="zh-CN"/>
        </w:rPr>
      </w:pPr>
      <w:bookmarkStart w:id="10" w:name="_Toc28364"/>
      <w:bookmarkStart w:id="11" w:name="_Toc31895"/>
      <w:r>
        <w:rPr>
          <w:rFonts w:hint="eastAsia" w:ascii="仿宋" w:hAnsi="仿宋" w:eastAsia="仿宋" w:cs="仿宋"/>
          <w:b/>
          <w:color w:val="auto"/>
          <w:kern w:val="2"/>
          <w:sz w:val="28"/>
          <w:szCs w:val="28"/>
          <w:lang w:val="en-US" w:eastAsia="zh-CN" w:bidi="ar-SA"/>
        </w:rPr>
        <w:t>5.</w:t>
      </w:r>
      <w:r>
        <w:rPr>
          <w:rFonts w:hint="eastAsia" w:ascii="仿宋" w:hAnsi="仿宋" w:eastAsia="仿宋" w:cs="仿宋"/>
          <w:color w:val="auto"/>
          <w:sz w:val="28"/>
          <w:szCs w:val="28"/>
          <w:lang w:val="en-US" w:eastAsia="zh-CN"/>
        </w:rPr>
        <w:t>响应</w:t>
      </w:r>
      <w:r>
        <w:rPr>
          <w:rFonts w:hint="eastAsia" w:ascii="仿宋" w:hAnsi="仿宋" w:eastAsia="仿宋" w:cs="仿宋"/>
          <w:color w:val="auto"/>
          <w:sz w:val="28"/>
          <w:szCs w:val="28"/>
          <w:lang w:eastAsia="zh-CN"/>
        </w:rPr>
        <w:t>保证金</w:t>
      </w:r>
      <w:bookmarkEnd w:id="10"/>
      <w:bookmarkEnd w:id="11"/>
    </w:p>
    <w:p w14:paraId="5CB7D371">
      <w:pPr>
        <w:spacing w:line="360" w:lineRule="auto"/>
        <w:ind w:firstLine="480" w:firstLineChars="200"/>
        <w:rPr>
          <w:rStyle w:val="62"/>
          <w:rFonts w:hint="eastAsia" w:ascii="仿宋" w:hAnsi="仿宋" w:eastAsia="仿宋" w:cs="仿宋"/>
          <w:color w:val="auto"/>
          <w:sz w:val="24"/>
          <w:highlight w:val="none"/>
          <w:lang w:val="en-US" w:eastAsia="zh-Hans"/>
        </w:rPr>
      </w:pPr>
      <w:r>
        <w:rPr>
          <w:rStyle w:val="62"/>
          <w:rFonts w:hint="eastAsia" w:ascii="仿宋" w:hAnsi="仿宋" w:eastAsia="仿宋" w:cs="仿宋"/>
          <w:color w:val="auto"/>
          <w:sz w:val="24"/>
          <w:highlight w:val="none"/>
          <w:lang w:val="en-US" w:eastAsia="zh-CN"/>
        </w:rPr>
        <w:t>1.</w:t>
      </w:r>
      <w:r>
        <w:rPr>
          <w:rStyle w:val="62"/>
          <w:rFonts w:hint="eastAsia" w:ascii="仿宋" w:hAnsi="仿宋" w:eastAsia="仿宋" w:cs="仿宋"/>
          <w:color w:val="auto"/>
          <w:sz w:val="24"/>
          <w:highlight w:val="none"/>
          <w:lang w:val="en-US"/>
        </w:rPr>
        <w:t>供应商应向</w:t>
      </w:r>
      <w:r>
        <w:rPr>
          <w:rStyle w:val="62"/>
          <w:rFonts w:hint="eastAsia" w:ascii="仿宋" w:hAnsi="仿宋" w:eastAsia="仿宋" w:cs="仿宋"/>
          <w:color w:val="auto"/>
          <w:sz w:val="24"/>
          <w:highlight w:val="none"/>
          <w:lang w:val="en-US" w:eastAsia="zh-CN"/>
        </w:rPr>
        <w:t>采购人交</w:t>
      </w:r>
      <w:r>
        <w:rPr>
          <w:rStyle w:val="62"/>
          <w:rFonts w:hint="eastAsia" w:ascii="仿宋" w:hAnsi="仿宋" w:eastAsia="仿宋" w:cs="仿宋"/>
          <w:color w:val="auto"/>
          <w:sz w:val="24"/>
          <w:highlight w:val="none"/>
          <w:lang w:val="en-US" w:eastAsia="zh-Hans"/>
        </w:rPr>
        <w:t>纳</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w:t>
      </w:r>
      <w:r>
        <w:rPr>
          <w:rStyle w:val="62"/>
          <w:rFonts w:hint="eastAsia" w:ascii="仿宋" w:hAnsi="仿宋" w:eastAsia="仿宋" w:cs="仿宋"/>
          <w:color w:val="auto"/>
          <w:sz w:val="24"/>
          <w:highlight w:val="none"/>
          <w:lang w:val="en-US" w:eastAsia="zh-CN"/>
        </w:rPr>
        <w:t>人民币大写</w:t>
      </w:r>
      <w:r>
        <w:rPr>
          <w:rStyle w:val="62"/>
          <w:rFonts w:hint="eastAsia" w:ascii="仿宋" w:hAnsi="仿宋" w:eastAsia="仿宋" w:cs="仿宋"/>
          <w:color w:val="auto"/>
          <w:sz w:val="24"/>
          <w:highlight w:val="none"/>
          <w:lang w:val="en-US"/>
        </w:rPr>
        <w:t>：壹</w:t>
      </w:r>
      <w:r>
        <w:rPr>
          <w:rStyle w:val="62"/>
          <w:rFonts w:hint="eastAsia" w:ascii="仿宋" w:hAnsi="仿宋" w:eastAsia="仿宋" w:cs="仿宋"/>
          <w:color w:val="auto"/>
          <w:sz w:val="24"/>
          <w:highlight w:val="none"/>
          <w:lang w:val="en-US" w:eastAsia="zh-CN"/>
        </w:rPr>
        <w:t>万伍仟元整（小写：15,000.00元）。</w:t>
      </w:r>
    </w:p>
    <w:p w14:paraId="2CDECA58">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2.响应</w:t>
      </w:r>
      <w:r>
        <w:rPr>
          <w:rStyle w:val="62"/>
          <w:rFonts w:hint="eastAsia" w:ascii="仿宋" w:hAnsi="仿宋" w:eastAsia="仿宋" w:cs="仿宋"/>
          <w:color w:val="auto"/>
          <w:sz w:val="24"/>
          <w:highlight w:val="none"/>
          <w:lang w:val="en-US"/>
        </w:rPr>
        <w:t>保证金应当</w:t>
      </w:r>
      <w:r>
        <w:rPr>
          <w:rStyle w:val="62"/>
          <w:rFonts w:hint="eastAsia" w:ascii="仿宋" w:hAnsi="仿宋" w:eastAsia="仿宋" w:cs="仿宋"/>
          <w:color w:val="auto"/>
          <w:sz w:val="24"/>
          <w:highlight w:val="none"/>
          <w:lang w:val="en-US" w:eastAsia="zh-CN"/>
        </w:rPr>
        <w:t>采用</w:t>
      </w:r>
      <w:r>
        <w:rPr>
          <w:rStyle w:val="62"/>
          <w:rFonts w:hint="eastAsia" w:ascii="仿宋" w:hAnsi="仿宋" w:eastAsia="仿宋" w:cs="仿宋"/>
          <w:color w:val="auto"/>
          <w:sz w:val="24"/>
          <w:highlight w:val="none"/>
          <w:lang w:val="en-US"/>
        </w:rPr>
        <w:t>银行电汇、转账、网上银行非现金形式交纳。</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保证金应于响应文件提交截止时</w:t>
      </w:r>
      <w:r>
        <w:rPr>
          <w:rStyle w:val="62"/>
          <w:rFonts w:hint="eastAsia" w:ascii="仿宋" w:hAnsi="仿宋" w:eastAsia="仿宋" w:cs="仿宋"/>
          <w:color w:val="auto"/>
          <w:sz w:val="24"/>
          <w:highlight w:val="none"/>
          <w:lang w:val="en-US" w:eastAsia="zh-CN"/>
        </w:rPr>
        <w:t>间</w:t>
      </w:r>
      <w:r>
        <w:rPr>
          <w:rStyle w:val="62"/>
          <w:rFonts w:hint="eastAsia" w:ascii="仿宋" w:hAnsi="仿宋" w:eastAsia="仿宋" w:cs="仿宋"/>
          <w:color w:val="auto"/>
          <w:sz w:val="24"/>
          <w:highlight w:val="none"/>
          <w:lang w:val="en-US"/>
        </w:rPr>
        <w:t>前按时从</w:t>
      </w:r>
      <w:r>
        <w:rPr>
          <w:rStyle w:val="62"/>
          <w:rFonts w:hint="eastAsia" w:ascii="仿宋" w:hAnsi="仿宋" w:eastAsia="仿宋" w:cs="仿宋"/>
          <w:color w:val="auto"/>
          <w:sz w:val="24"/>
          <w:highlight w:val="none"/>
          <w:lang w:val="en-US" w:eastAsia="zh-CN"/>
        </w:rPr>
        <w:t>供应商</w:t>
      </w:r>
      <w:r>
        <w:rPr>
          <w:rStyle w:val="62"/>
          <w:rFonts w:hint="eastAsia" w:ascii="仿宋" w:hAnsi="仿宋" w:eastAsia="仿宋" w:cs="仿宋"/>
          <w:color w:val="auto"/>
          <w:sz w:val="24"/>
          <w:highlight w:val="none"/>
          <w:lang w:val="en-US"/>
        </w:rPr>
        <w:t>基本账户一次性足额转账至</w:t>
      </w:r>
      <w:r>
        <w:rPr>
          <w:rStyle w:val="62"/>
          <w:rFonts w:hint="eastAsia" w:ascii="仿宋" w:hAnsi="仿宋" w:eastAsia="仿宋" w:cs="仿宋"/>
          <w:color w:val="auto"/>
          <w:sz w:val="24"/>
          <w:highlight w:val="none"/>
          <w:lang w:val="en-US" w:eastAsia="zh-CN"/>
        </w:rPr>
        <w:t>采购人</w:t>
      </w:r>
      <w:r>
        <w:rPr>
          <w:rStyle w:val="62"/>
          <w:rFonts w:hint="eastAsia" w:ascii="仿宋" w:hAnsi="仿宋" w:eastAsia="仿宋" w:cs="仿宋"/>
          <w:color w:val="auto"/>
          <w:sz w:val="24"/>
          <w:highlight w:val="none"/>
          <w:lang w:val="en-US"/>
        </w:rPr>
        <w:t>账户内，如未按要求转入，将作无效</w:t>
      </w:r>
      <w:r>
        <w:rPr>
          <w:rStyle w:val="62"/>
          <w:rFonts w:hint="eastAsia" w:ascii="仿宋" w:hAnsi="仿宋" w:eastAsia="仿宋" w:cs="仿宋"/>
          <w:color w:val="auto"/>
          <w:sz w:val="24"/>
          <w:highlight w:val="none"/>
          <w:lang w:val="en-US" w:eastAsia="zh-Hans"/>
        </w:rPr>
        <w:t>响应</w:t>
      </w:r>
      <w:r>
        <w:rPr>
          <w:rStyle w:val="62"/>
          <w:rFonts w:hint="eastAsia" w:ascii="仿宋" w:hAnsi="仿宋" w:eastAsia="仿宋" w:cs="仿宋"/>
          <w:color w:val="auto"/>
          <w:sz w:val="24"/>
          <w:highlight w:val="none"/>
          <w:lang w:val="en-US"/>
        </w:rPr>
        <w:t>处理。</w:t>
      </w:r>
    </w:p>
    <w:p w14:paraId="35DAAF5D">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pacing w:val="0"/>
          <w:kern w:val="0"/>
          <w:sz w:val="24"/>
          <w:highlight w:val="none"/>
          <w:fitText w:val="960" w:id="1150624567"/>
          <w:lang w:val="en-US"/>
        </w:rPr>
        <w:t>收款单位</w:t>
      </w:r>
      <w:r>
        <w:rPr>
          <w:rStyle w:val="62"/>
          <w:rFonts w:hint="eastAsia" w:ascii="仿宋" w:hAnsi="仿宋" w:eastAsia="仿宋" w:cs="仿宋"/>
          <w:color w:val="auto"/>
          <w:kern w:val="0"/>
          <w:sz w:val="24"/>
          <w:highlight w:val="none"/>
          <w:lang w:val="en-US"/>
        </w:rPr>
        <w:t>：</w:t>
      </w:r>
      <w:r>
        <w:rPr>
          <w:rStyle w:val="62"/>
          <w:rFonts w:hint="default" w:ascii="仿宋" w:hAnsi="仿宋" w:eastAsia="仿宋" w:cs="仿宋"/>
          <w:color w:val="auto"/>
          <w:sz w:val="24"/>
          <w:highlight w:val="none"/>
          <w:lang w:val="en-US"/>
        </w:rPr>
        <w:t>赣州景区建设运营有限公司</w:t>
      </w:r>
      <w:r>
        <w:rPr>
          <w:rStyle w:val="62"/>
          <w:rFonts w:hint="eastAsia" w:ascii="仿宋" w:hAnsi="仿宋" w:eastAsia="仿宋" w:cs="仿宋"/>
          <w:color w:val="auto"/>
          <w:sz w:val="24"/>
          <w:highlight w:val="none"/>
          <w:lang w:val="en-US" w:eastAsia="zh-CN"/>
        </w:rPr>
        <w:t xml:space="preserve">  </w:t>
      </w:r>
      <w:r>
        <w:rPr>
          <w:rStyle w:val="62"/>
          <w:rFonts w:hint="eastAsia" w:ascii="仿宋" w:hAnsi="仿宋" w:eastAsia="仿宋" w:cs="仿宋"/>
          <w:color w:val="auto"/>
          <w:sz w:val="24"/>
          <w:highlight w:val="none"/>
          <w:lang w:val="en-US"/>
        </w:rPr>
        <w:t xml:space="preserve"> </w:t>
      </w:r>
    </w:p>
    <w:p w14:paraId="07D58706">
      <w:pPr>
        <w:spacing w:line="360" w:lineRule="auto"/>
        <w:ind w:firstLine="478" w:firstLineChars="133"/>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pacing w:val="60"/>
          <w:kern w:val="0"/>
          <w:sz w:val="24"/>
          <w:highlight w:val="none"/>
          <w:fitText w:val="960" w:id="92811259"/>
          <w:lang w:val="en-US"/>
        </w:rPr>
        <w:t>开户</w:t>
      </w:r>
      <w:r>
        <w:rPr>
          <w:rStyle w:val="62"/>
          <w:rFonts w:hint="eastAsia" w:ascii="仿宋" w:hAnsi="仿宋" w:eastAsia="仿宋" w:cs="仿宋"/>
          <w:color w:val="auto"/>
          <w:spacing w:val="0"/>
          <w:kern w:val="0"/>
          <w:sz w:val="24"/>
          <w:highlight w:val="none"/>
          <w:fitText w:val="960" w:id="92811259"/>
          <w:lang w:val="en-US"/>
        </w:rPr>
        <w:t>行</w:t>
      </w:r>
      <w:r>
        <w:rPr>
          <w:rStyle w:val="62"/>
          <w:rFonts w:hint="eastAsia" w:ascii="仿宋" w:hAnsi="仿宋" w:eastAsia="仿宋" w:cs="仿宋"/>
          <w:color w:val="auto"/>
          <w:sz w:val="24"/>
          <w:highlight w:val="none"/>
          <w:lang w:val="en-US"/>
        </w:rPr>
        <w:t>：</w:t>
      </w:r>
      <w:r>
        <w:rPr>
          <w:rStyle w:val="62"/>
          <w:rFonts w:hint="default" w:ascii="仿宋" w:hAnsi="仿宋" w:eastAsia="仿宋" w:cs="仿宋"/>
          <w:color w:val="auto"/>
          <w:sz w:val="24"/>
          <w:highlight w:val="none"/>
          <w:lang w:val="en-US"/>
        </w:rPr>
        <w:t>九江银行赣州分行</w:t>
      </w:r>
      <w:r>
        <w:rPr>
          <w:rStyle w:val="62"/>
          <w:rFonts w:hint="eastAsia" w:ascii="仿宋" w:hAnsi="仿宋" w:eastAsia="仿宋" w:cs="仿宋"/>
          <w:color w:val="auto"/>
          <w:sz w:val="24"/>
          <w:highlight w:val="none"/>
          <w:lang w:val="en-US" w:eastAsia="zh-CN"/>
        </w:rPr>
        <w:t xml:space="preserve">   </w:t>
      </w:r>
    </w:p>
    <w:p w14:paraId="2E4FA4C8">
      <w:pPr>
        <w:spacing w:line="360" w:lineRule="auto"/>
        <w:ind w:firstLine="480" w:firstLineChars="200"/>
        <w:rPr>
          <w:rStyle w:val="62"/>
          <w:rFonts w:hint="eastAsia" w:ascii="仿宋" w:hAnsi="仿宋" w:eastAsia="仿宋" w:cs="仿宋"/>
          <w:color w:val="auto"/>
          <w:sz w:val="24"/>
          <w:highlight w:val="none"/>
          <w:lang w:val="en-US" w:eastAsia="zh-CN"/>
        </w:rPr>
      </w:pPr>
      <w:r>
        <w:rPr>
          <w:rStyle w:val="62"/>
          <w:rFonts w:hint="eastAsia" w:ascii="仿宋" w:hAnsi="仿宋" w:eastAsia="仿宋" w:cs="仿宋"/>
          <w:color w:val="auto"/>
          <w:spacing w:val="0"/>
          <w:kern w:val="0"/>
          <w:sz w:val="24"/>
          <w:highlight w:val="none"/>
          <w:fitText w:val="960" w:id="1915621016"/>
          <w:lang w:val="en-US"/>
        </w:rPr>
        <w:t>银行账号</w:t>
      </w:r>
      <w:r>
        <w:rPr>
          <w:rStyle w:val="62"/>
          <w:rFonts w:hint="eastAsia" w:ascii="仿宋" w:hAnsi="仿宋" w:eastAsia="仿宋" w:cs="仿宋"/>
          <w:color w:val="auto"/>
          <w:kern w:val="0"/>
          <w:sz w:val="24"/>
          <w:highlight w:val="none"/>
          <w:lang w:val="en-US"/>
        </w:rPr>
        <w:t>：</w:t>
      </w:r>
      <w:r>
        <w:rPr>
          <w:rStyle w:val="62"/>
          <w:rFonts w:hint="default" w:ascii="仿宋" w:hAnsi="仿宋" w:eastAsia="仿宋" w:cs="仿宋"/>
          <w:color w:val="auto"/>
          <w:sz w:val="24"/>
          <w:highlight w:val="none"/>
          <w:lang w:val="en-US"/>
        </w:rPr>
        <w:t>2870 1940 0000 0007 25</w:t>
      </w:r>
      <w:r>
        <w:rPr>
          <w:rStyle w:val="62"/>
          <w:rFonts w:hint="eastAsia" w:ascii="仿宋" w:hAnsi="仿宋" w:eastAsia="仿宋" w:cs="仿宋"/>
          <w:color w:val="auto"/>
          <w:sz w:val="24"/>
          <w:highlight w:val="none"/>
          <w:lang w:val="en-US" w:eastAsia="zh-CN"/>
        </w:rPr>
        <w:t xml:space="preserve">      </w:t>
      </w:r>
    </w:p>
    <w:p w14:paraId="0395D1F9">
      <w:pPr>
        <w:spacing w:line="360" w:lineRule="auto"/>
        <w:ind w:firstLine="475" w:firstLineChars="66"/>
        <w:rPr>
          <w:rStyle w:val="62"/>
          <w:rFonts w:hint="eastAsia" w:ascii="仿宋" w:hAnsi="仿宋" w:eastAsia="仿宋" w:cs="仿宋"/>
          <w:b/>
          <w:bCs/>
          <w:color w:val="auto"/>
          <w:sz w:val="24"/>
          <w:highlight w:val="none"/>
          <w:lang w:val="en-US" w:eastAsia="zh-CN"/>
        </w:rPr>
      </w:pPr>
      <w:bookmarkStart w:id="12" w:name="_Toc28407"/>
      <w:bookmarkStart w:id="13" w:name="_Toc1702"/>
      <w:bookmarkStart w:id="14" w:name="_Toc20184"/>
      <w:r>
        <w:rPr>
          <w:rStyle w:val="62"/>
          <w:rFonts w:hint="eastAsia" w:ascii="仿宋" w:hAnsi="仿宋" w:eastAsia="仿宋" w:cs="仿宋"/>
          <w:color w:val="auto"/>
          <w:spacing w:val="240"/>
          <w:kern w:val="0"/>
          <w:sz w:val="24"/>
          <w:highlight w:val="none"/>
          <w:fitText w:val="960" w:id="264771371"/>
          <w:lang w:val="en-US"/>
        </w:rPr>
        <w:t>附</w:t>
      </w:r>
      <w:r>
        <w:rPr>
          <w:rStyle w:val="62"/>
          <w:rFonts w:hint="eastAsia" w:ascii="仿宋" w:hAnsi="仿宋" w:eastAsia="仿宋" w:cs="仿宋"/>
          <w:color w:val="auto"/>
          <w:spacing w:val="0"/>
          <w:kern w:val="0"/>
          <w:sz w:val="24"/>
          <w:highlight w:val="none"/>
          <w:fitText w:val="960" w:id="264771371"/>
          <w:lang w:val="en-US"/>
        </w:rPr>
        <w:t>言</w:t>
      </w:r>
      <w:r>
        <w:rPr>
          <w:rStyle w:val="62"/>
          <w:rFonts w:hint="eastAsia" w:ascii="仿宋" w:hAnsi="仿宋" w:eastAsia="仿宋" w:cs="仿宋"/>
          <w:color w:val="auto"/>
          <w:kern w:val="0"/>
          <w:sz w:val="24"/>
          <w:highlight w:val="none"/>
          <w:lang w:val="en-US"/>
        </w:rPr>
        <w:t>：</w:t>
      </w:r>
      <w:r>
        <w:rPr>
          <w:rStyle w:val="62"/>
          <w:rFonts w:hint="eastAsia" w:ascii="仿宋" w:hAnsi="仿宋" w:eastAsia="仿宋" w:cs="仿宋"/>
          <w:b/>
          <w:bCs/>
          <w:color w:val="auto"/>
          <w:sz w:val="24"/>
          <w:highlight w:val="none"/>
          <w:lang w:val="en-US" w:eastAsia="zh-CN"/>
        </w:rPr>
        <w:t>赣州景区建设运营有限公司猪肉类产品2026-2027年度框架协议供应商入围征集项目响应保证金</w:t>
      </w:r>
      <w:bookmarkEnd w:id="12"/>
      <w:bookmarkEnd w:id="13"/>
      <w:bookmarkEnd w:id="14"/>
    </w:p>
    <w:p w14:paraId="2128FCDC">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3.</w:t>
      </w:r>
      <w:r>
        <w:rPr>
          <w:rStyle w:val="62"/>
          <w:rFonts w:hint="eastAsia" w:ascii="仿宋" w:hAnsi="仿宋" w:eastAsia="仿宋" w:cs="仿宋"/>
          <w:color w:val="auto"/>
          <w:sz w:val="24"/>
          <w:highlight w:val="none"/>
          <w:lang w:val="en-US"/>
        </w:rPr>
        <w:t>未中</w:t>
      </w:r>
      <w:r>
        <w:rPr>
          <w:rStyle w:val="62"/>
          <w:rFonts w:hint="eastAsia" w:ascii="仿宋" w:hAnsi="仿宋" w:eastAsia="仿宋" w:cs="仿宋"/>
          <w:color w:val="auto"/>
          <w:sz w:val="24"/>
          <w:highlight w:val="none"/>
          <w:lang w:val="en-US" w:eastAsia="zh-CN"/>
        </w:rPr>
        <w:t>选供应商</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保证金，在《</w:t>
      </w:r>
      <w:r>
        <w:rPr>
          <w:rStyle w:val="62"/>
          <w:rFonts w:hint="eastAsia" w:ascii="仿宋" w:hAnsi="仿宋" w:eastAsia="仿宋" w:cs="仿宋"/>
          <w:color w:val="auto"/>
          <w:sz w:val="24"/>
          <w:highlight w:val="none"/>
          <w:lang w:val="en-US" w:eastAsia="zh-CN"/>
        </w:rPr>
        <w:t>成交</w:t>
      </w:r>
      <w:r>
        <w:rPr>
          <w:rStyle w:val="62"/>
          <w:rFonts w:hint="eastAsia" w:ascii="仿宋" w:hAnsi="仿宋" w:eastAsia="仿宋" w:cs="仿宋"/>
          <w:color w:val="auto"/>
          <w:sz w:val="24"/>
          <w:highlight w:val="none"/>
          <w:lang w:val="en-US"/>
        </w:rPr>
        <w:t>通知书》发出</w:t>
      </w:r>
      <w:r>
        <w:rPr>
          <w:rStyle w:val="62"/>
          <w:rFonts w:hint="eastAsia" w:ascii="仿宋" w:hAnsi="仿宋" w:eastAsia="仿宋" w:cs="仿宋"/>
          <w:color w:val="auto"/>
          <w:sz w:val="24"/>
          <w:highlight w:val="none"/>
          <w:lang w:val="en-US" w:eastAsia="zh-CN"/>
        </w:rPr>
        <w:t>后14</w:t>
      </w:r>
      <w:r>
        <w:rPr>
          <w:rStyle w:val="62"/>
          <w:rFonts w:hint="eastAsia" w:ascii="仿宋" w:hAnsi="仿宋" w:eastAsia="仿宋" w:cs="仿宋"/>
          <w:color w:val="auto"/>
          <w:sz w:val="24"/>
          <w:highlight w:val="none"/>
          <w:lang w:val="en-US"/>
        </w:rPr>
        <w:t>个工作日内无息退还，</w:t>
      </w:r>
      <w:r>
        <w:rPr>
          <w:rStyle w:val="62"/>
          <w:rFonts w:hint="eastAsia" w:ascii="仿宋" w:hAnsi="仿宋" w:eastAsia="仿宋" w:cs="仿宋"/>
          <w:color w:val="auto"/>
          <w:sz w:val="24"/>
          <w:highlight w:val="none"/>
          <w:lang w:val="en-US" w:eastAsia="zh-CN"/>
        </w:rPr>
        <w:t>存在</w:t>
      </w:r>
      <w:r>
        <w:rPr>
          <w:rStyle w:val="62"/>
          <w:rFonts w:hint="eastAsia" w:ascii="仿宋" w:hAnsi="仿宋" w:eastAsia="仿宋" w:cs="仿宋"/>
          <w:color w:val="auto"/>
          <w:sz w:val="24"/>
          <w:highlight w:val="none"/>
          <w:lang w:val="en-US"/>
        </w:rPr>
        <w:t>质疑或投诉时，在质疑或投诉处理完毕后</w:t>
      </w:r>
      <w:r>
        <w:rPr>
          <w:rStyle w:val="62"/>
          <w:rFonts w:hint="eastAsia" w:ascii="仿宋" w:hAnsi="仿宋" w:eastAsia="仿宋" w:cs="仿宋"/>
          <w:color w:val="auto"/>
          <w:sz w:val="24"/>
          <w:highlight w:val="none"/>
          <w:lang w:val="en-US" w:eastAsia="zh-CN"/>
        </w:rPr>
        <w:t>14</w:t>
      </w:r>
      <w:r>
        <w:rPr>
          <w:rStyle w:val="62"/>
          <w:rFonts w:hint="eastAsia" w:ascii="仿宋" w:hAnsi="仿宋" w:eastAsia="仿宋" w:cs="仿宋"/>
          <w:color w:val="auto"/>
          <w:sz w:val="24"/>
          <w:highlight w:val="none"/>
          <w:lang w:val="en-US"/>
        </w:rPr>
        <w:t>个工作日内无息退还。</w:t>
      </w:r>
      <w:r>
        <w:rPr>
          <w:rStyle w:val="62"/>
          <w:rFonts w:hint="eastAsia" w:ascii="仿宋" w:hAnsi="仿宋" w:eastAsia="仿宋" w:cs="仿宋"/>
          <w:color w:val="auto"/>
          <w:sz w:val="24"/>
          <w:highlight w:val="none"/>
          <w:lang w:val="en-US" w:eastAsia="zh-CN"/>
        </w:rPr>
        <w:t>成交供应商</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保证金，在合同签订后</w:t>
      </w:r>
      <w:r>
        <w:rPr>
          <w:rStyle w:val="62"/>
          <w:rFonts w:hint="eastAsia" w:ascii="仿宋" w:hAnsi="仿宋" w:eastAsia="仿宋" w:cs="仿宋"/>
          <w:color w:val="auto"/>
          <w:sz w:val="24"/>
          <w:highlight w:val="none"/>
          <w:lang w:val="en-US" w:eastAsia="zh-CN"/>
        </w:rPr>
        <w:t>14</w:t>
      </w:r>
      <w:r>
        <w:rPr>
          <w:rStyle w:val="62"/>
          <w:rFonts w:hint="eastAsia" w:ascii="仿宋" w:hAnsi="仿宋" w:eastAsia="仿宋" w:cs="仿宋"/>
          <w:color w:val="auto"/>
          <w:sz w:val="24"/>
          <w:highlight w:val="none"/>
          <w:lang w:val="en-US"/>
        </w:rPr>
        <w:t>个工作日内无息退还。</w:t>
      </w:r>
    </w:p>
    <w:p w14:paraId="11F0BEE6">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4.供应商</w:t>
      </w:r>
      <w:r>
        <w:rPr>
          <w:rStyle w:val="62"/>
          <w:rFonts w:hint="eastAsia" w:ascii="仿宋" w:hAnsi="仿宋" w:eastAsia="仿宋" w:cs="仿宋"/>
          <w:color w:val="auto"/>
          <w:sz w:val="24"/>
          <w:highlight w:val="none"/>
          <w:lang w:val="en-US"/>
        </w:rPr>
        <w:t>有下列情形之一的，取消候选</w:t>
      </w:r>
      <w:r>
        <w:rPr>
          <w:rStyle w:val="62"/>
          <w:rFonts w:hint="eastAsia" w:ascii="仿宋" w:hAnsi="仿宋" w:eastAsia="仿宋" w:cs="仿宋"/>
          <w:color w:val="auto"/>
          <w:sz w:val="24"/>
          <w:highlight w:val="none"/>
          <w:lang w:val="en-US" w:eastAsia="zh-CN"/>
        </w:rPr>
        <w:t>供应商</w:t>
      </w:r>
      <w:r>
        <w:rPr>
          <w:rStyle w:val="62"/>
          <w:rFonts w:hint="eastAsia" w:ascii="仿宋" w:hAnsi="仿宋" w:eastAsia="仿宋" w:cs="仿宋"/>
          <w:color w:val="auto"/>
          <w:sz w:val="24"/>
          <w:highlight w:val="none"/>
          <w:lang w:val="en-US"/>
        </w:rPr>
        <w:t>或</w:t>
      </w:r>
      <w:r>
        <w:rPr>
          <w:rStyle w:val="62"/>
          <w:rFonts w:hint="eastAsia" w:ascii="仿宋" w:hAnsi="仿宋" w:eastAsia="仿宋" w:cs="仿宋"/>
          <w:color w:val="auto"/>
          <w:sz w:val="24"/>
          <w:highlight w:val="none"/>
          <w:lang w:val="en-US" w:eastAsia="zh-CN"/>
        </w:rPr>
        <w:t>成交供应商</w:t>
      </w:r>
      <w:r>
        <w:rPr>
          <w:rStyle w:val="62"/>
          <w:rFonts w:hint="eastAsia" w:ascii="仿宋" w:hAnsi="仿宋" w:eastAsia="仿宋" w:cs="仿宋"/>
          <w:color w:val="auto"/>
          <w:sz w:val="24"/>
          <w:highlight w:val="none"/>
          <w:lang w:val="en-US"/>
        </w:rPr>
        <w:t>资格，</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保证金不予退还：</w:t>
      </w:r>
    </w:p>
    <w:p w14:paraId="737E3F76">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（1）成交供应商</w:t>
      </w:r>
      <w:r>
        <w:rPr>
          <w:rStyle w:val="62"/>
          <w:rFonts w:hint="eastAsia" w:ascii="仿宋" w:hAnsi="仿宋" w:eastAsia="仿宋" w:cs="仿宋"/>
          <w:color w:val="auto"/>
          <w:sz w:val="24"/>
          <w:highlight w:val="none"/>
          <w:lang w:val="en-US"/>
        </w:rPr>
        <w:t>无正当理由不与</w:t>
      </w:r>
      <w:r>
        <w:rPr>
          <w:rStyle w:val="62"/>
          <w:rFonts w:hint="eastAsia" w:ascii="仿宋" w:hAnsi="仿宋" w:eastAsia="仿宋" w:cs="仿宋"/>
          <w:color w:val="auto"/>
          <w:sz w:val="24"/>
          <w:highlight w:val="none"/>
          <w:lang w:val="en-US" w:eastAsia="zh-CN"/>
        </w:rPr>
        <w:t>采购人</w:t>
      </w:r>
      <w:r>
        <w:rPr>
          <w:rStyle w:val="62"/>
          <w:rFonts w:hint="eastAsia" w:ascii="仿宋" w:hAnsi="仿宋" w:eastAsia="仿宋" w:cs="仿宋"/>
          <w:color w:val="auto"/>
          <w:sz w:val="24"/>
          <w:highlight w:val="none"/>
          <w:lang w:val="en-US"/>
        </w:rPr>
        <w:t>签订合同的；</w:t>
      </w:r>
    </w:p>
    <w:p w14:paraId="176E5A51">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（2）成交供应商</w:t>
      </w:r>
      <w:r>
        <w:rPr>
          <w:rStyle w:val="62"/>
          <w:rFonts w:hint="eastAsia" w:ascii="仿宋" w:hAnsi="仿宋" w:eastAsia="仿宋" w:cs="仿宋"/>
          <w:color w:val="auto"/>
          <w:sz w:val="24"/>
          <w:highlight w:val="none"/>
          <w:lang w:val="en-US"/>
        </w:rPr>
        <w:t>未按规定提交履约保证金的；</w:t>
      </w:r>
    </w:p>
    <w:p w14:paraId="3DFFC748">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（3）供应商</w:t>
      </w:r>
      <w:r>
        <w:rPr>
          <w:rStyle w:val="62"/>
          <w:rFonts w:hint="eastAsia" w:ascii="仿宋" w:hAnsi="仿宋" w:eastAsia="仿宋" w:cs="仿宋"/>
          <w:color w:val="auto"/>
          <w:sz w:val="24"/>
          <w:highlight w:val="none"/>
          <w:lang w:val="en-US"/>
        </w:rPr>
        <w:t>提供虚假材料</w:t>
      </w:r>
      <w:r>
        <w:rPr>
          <w:rStyle w:val="62"/>
          <w:rFonts w:hint="eastAsia" w:ascii="仿宋" w:hAnsi="仿宋" w:eastAsia="仿宋" w:cs="仿宋"/>
          <w:color w:val="auto"/>
          <w:sz w:val="24"/>
          <w:highlight w:val="none"/>
          <w:lang w:val="en-US" w:eastAsia="zh-CN"/>
        </w:rPr>
        <w:t>或</w:t>
      </w:r>
      <w:r>
        <w:rPr>
          <w:rStyle w:val="62"/>
          <w:rFonts w:hint="eastAsia" w:ascii="仿宋" w:hAnsi="仿宋" w:eastAsia="仿宋" w:cs="仿宋"/>
          <w:color w:val="auto"/>
          <w:sz w:val="24"/>
          <w:highlight w:val="none"/>
          <w:lang w:val="en-US"/>
        </w:rPr>
        <w:t>虚假陈述的；</w:t>
      </w:r>
    </w:p>
    <w:p w14:paraId="576AD5AE">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（4）供应商</w:t>
      </w:r>
      <w:r>
        <w:rPr>
          <w:rStyle w:val="62"/>
          <w:rFonts w:hint="eastAsia" w:ascii="仿宋" w:hAnsi="仿宋" w:eastAsia="仿宋" w:cs="仿宋"/>
          <w:color w:val="auto"/>
          <w:sz w:val="24"/>
          <w:highlight w:val="none"/>
          <w:lang w:val="en-US"/>
        </w:rPr>
        <w:t>串通投标的；</w:t>
      </w:r>
    </w:p>
    <w:p w14:paraId="0C6BF606">
      <w:pPr>
        <w:spacing w:line="360" w:lineRule="auto"/>
        <w:ind w:firstLine="480" w:firstLineChars="200"/>
        <w:rPr>
          <w:rFonts w:hint="eastAsia"/>
        </w:rPr>
      </w:pPr>
      <w:r>
        <w:rPr>
          <w:rStyle w:val="62"/>
          <w:rFonts w:hint="eastAsia" w:ascii="仿宋" w:hAnsi="仿宋" w:eastAsia="仿宋" w:cs="仿宋"/>
          <w:color w:val="auto"/>
          <w:sz w:val="24"/>
          <w:highlight w:val="none"/>
          <w:lang w:val="en-US" w:eastAsia="zh-CN"/>
        </w:rPr>
        <w:t>（5）供应商</w:t>
      </w:r>
      <w:r>
        <w:rPr>
          <w:rStyle w:val="62"/>
          <w:rFonts w:hint="eastAsia" w:ascii="仿宋" w:hAnsi="仿宋" w:eastAsia="仿宋" w:cs="仿宋"/>
          <w:color w:val="auto"/>
          <w:sz w:val="24"/>
          <w:highlight w:val="none"/>
          <w:lang w:val="en-US"/>
        </w:rPr>
        <w:t>在</w:t>
      </w:r>
      <w:r>
        <w:rPr>
          <w:rStyle w:val="62"/>
          <w:rFonts w:hint="eastAsia" w:ascii="仿宋" w:hAnsi="仿宋" w:eastAsia="仿宋" w:cs="仿宋"/>
          <w:color w:val="auto"/>
          <w:sz w:val="24"/>
          <w:highlight w:val="none"/>
          <w:lang w:val="en-US" w:eastAsia="zh-CN"/>
        </w:rPr>
        <w:t>询价文件</w:t>
      </w:r>
      <w:r>
        <w:rPr>
          <w:rStyle w:val="62"/>
          <w:rFonts w:hint="eastAsia" w:ascii="仿宋" w:hAnsi="仿宋" w:eastAsia="仿宋" w:cs="仿宋"/>
          <w:color w:val="auto"/>
          <w:sz w:val="24"/>
          <w:highlight w:val="none"/>
          <w:lang w:val="en-US"/>
        </w:rPr>
        <w:t>规定的</w:t>
      </w:r>
      <w:r>
        <w:rPr>
          <w:rStyle w:val="62"/>
          <w:rFonts w:hint="eastAsia" w:ascii="仿宋" w:hAnsi="仿宋" w:eastAsia="仿宋" w:cs="仿宋"/>
          <w:color w:val="auto"/>
          <w:sz w:val="24"/>
          <w:highlight w:val="none"/>
          <w:lang w:val="en-US" w:eastAsia="zh-CN"/>
        </w:rPr>
        <w:t>响应</w:t>
      </w:r>
      <w:r>
        <w:rPr>
          <w:rStyle w:val="62"/>
          <w:rFonts w:hint="eastAsia" w:ascii="仿宋" w:hAnsi="仿宋" w:eastAsia="仿宋" w:cs="仿宋"/>
          <w:color w:val="auto"/>
          <w:sz w:val="24"/>
          <w:highlight w:val="none"/>
          <w:lang w:val="en-US"/>
        </w:rPr>
        <w:t>有效期内撤回其</w:t>
      </w:r>
      <w:r>
        <w:rPr>
          <w:rStyle w:val="62"/>
          <w:rFonts w:hint="eastAsia" w:ascii="仿宋" w:hAnsi="仿宋" w:eastAsia="仿宋" w:cs="仿宋"/>
          <w:color w:val="auto"/>
          <w:sz w:val="24"/>
          <w:highlight w:val="none"/>
          <w:lang w:val="en-US" w:eastAsia="zh-CN"/>
        </w:rPr>
        <w:t>响应文件</w:t>
      </w:r>
      <w:r>
        <w:rPr>
          <w:rStyle w:val="62"/>
          <w:rFonts w:hint="eastAsia" w:ascii="仿宋" w:hAnsi="仿宋" w:eastAsia="仿宋" w:cs="仿宋"/>
          <w:color w:val="auto"/>
          <w:sz w:val="24"/>
          <w:highlight w:val="none"/>
          <w:lang w:val="en-US"/>
        </w:rPr>
        <w:t>的</w:t>
      </w:r>
      <w:r>
        <w:rPr>
          <w:rStyle w:val="62"/>
          <w:rFonts w:hint="eastAsia" w:ascii="仿宋" w:hAnsi="仿宋" w:eastAsia="仿宋" w:cs="仿宋"/>
          <w:color w:val="auto"/>
          <w:sz w:val="24"/>
          <w:highlight w:val="none"/>
          <w:lang w:val="en-US" w:eastAsia="zh-CN"/>
        </w:rPr>
        <w:t>。</w:t>
      </w:r>
    </w:p>
    <w:p w14:paraId="4A2BFE1F">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rPr>
      </w:pPr>
      <w:bookmarkStart w:id="15" w:name="_Toc25159"/>
      <w:bookmarkStart w:id="16" w:name="_Toc10145"/>
      <w:r>
        <w:rPr>
          <w:rFonts w:hint="eastAsia" w:ascii="仿宋" w:hAnsi="仿宋" w:eastAsia="仿宋" w:cs="仿宋"/>
          <w:color w:val="auto"/>
          <w:sz w:val="28"/>
          <w:szCs w:val="28"/>
          <w:highlight w:val="none"/>
          <w:lang w:val="en-US" w:eastAsia="zh-CN"/>
        </w:rPr>
        <w:t>6.响应</w:t>
      </w:r>
      <w:r>
        <w:rPr>
          <w:rFonts w:hint="eastAsia" w:ascii="仿宋" w:hAnsi="仿宋" w:eastAsia="仿宋" w:cs="仿宋"/>
          <w:color w:val="auto"/>
          <w:sz w:val="28"/>
          <w:szCs w:val="28"/>
          <w:highlight w:val="none"/>
        </w:rPr>
        <w:t>文件的递交</w:t>
      </w:r>
      <w:bookmarkEnd w:id="15"/>
      <w:bookmarkEnd w:id="16"/>
    </w:p>
    <w:p w14:paraId="253595B4">
      <w:pPr>
        <w:spacing w:line="360" w:lineRule="auto"/>
        <w:ind w:firstLine="480" w:firstLineChars="200"/>
        <w:rPr>
          <w:rStyle w:val="62"/>
          <w:rFonts w:hint="eastAsia" w:ascii="仿宋" w:hAnsi="仿宋" w:eastAsia="仿宋" w:cs="仿宋"/>
          <w:color w:val="auto"/>
          <w:sz w:val="24"/>
          <w:highlight w:val="none"/>
          <w:lang w:val="en-US" w:eastAsia="zh-Hans"/>
        </w:rPr>
      </w:pPr>
      <w:r>
        <w:rPr>
          <w:rStyle w:val="62"/>
          <w:rFonts w:hint="eastAsia" w:ascii="仿宋" w:hAnsi="仿宋" w:eastAsia="仿宋" w:cs="仿宋"/>
          <w:color w:val="auto"/>
          <w:sz w:val="24"/>
          <w:highlight w:val="none"/>
          <w:lang w:val="en-US"/>
        </w:rPr>
        <w:t>供应商应认真阅读附件1的全部内容，并按照征集文件的要求编制响应文件。供应商须在响应截止时间前，将响应文件（详见附件2）递交至以下地址：江西省赣州市章贡区江南宋城历史文化旅游区百家岭8号1楼会议室。</w:t>
      </w:r>
    </w:p>
    <w:p w14:paraId="43E883A7">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lang w:val="en-US" w:eastAsia="zh-CN"/>
        </w:rPr>
      </w:pPr>
      <w:bookmarkStart w:id="17" w:name="_Toc7119"/>
      <w:bookmarkStart w:id="18" w:name="_Toc27158"/>
      <w:r>
        <w:rPr>
          <w:rFonts w:hint="eastAsia" w:ascii="仿宋" w:hAnsi="仿宋" w:eastAsia="仿宋" w:cs="仿宋"/>
          <w:color w:val="auto"/>
          <w:sz w:val="28"/>
          <w:szCs w:val="28"/>
          <w:highlight w:val="none"/>
          <w:lang w:val="en-US" w:eastAsia="zh-CN"/>
        </w:rPr>
        <w:t>7.响应文件的开启</w:t>
      </w:r>
      <w:bookmarkEnd w:id="17"/>
      <w:bookmarkEnd w:id="18"/>
    </w:p>
    <w:p w14:paraId="57024291">
      <w:pPr>
        <w:spacing w:line="360" w:lineRule="auto"/>
        <w:ind w:firstLine="480" w:firstLineChars="200"/>
        <w:rPr>
          <w:rStyle w:val="62"/>
          <w:rFonts w:hint="eastAsia" w:ascii="仿宋" w:hAnsi="仿宋" w:eastAsia="仿宋" w:cs="仿宋"/>
          <w:color w:val="auto"/>
          <w:sz w:val="24"/>
          <w:highlight w:val="none"/>
          <w:lang w:val="en-US"/>
        </w:rPr>
      </w:pPr>
      <w:r>
        <w:rPr>
          <w:rStyle w:val="62"/>
          <w:rFonts w:hint="eastAsia" w:ascii="仿宋" w:hAnsi="仿宋" w:eastAsia="仿宋" w:cs="仿宋"/>
          <w:color w:val="auto"/>
          <w:sz w:val="24"/>
          <w:highlight w:val="none"/>
          <w:lang w:val="en-US" w:eastAsia="zh-CN"/>
        </w:rPr>
        <w:t>1.</w:t>
      </w:r>
      <w:r>
        <w:rPr>
          <w:rStyle w:val="62"/>
          <w:rFonts w:hint="eastAsia" w:ascii="仿宋" w:hAnsi="仿宋" w:eastAsia="仿宋" w:cs="仿宋"/>
          <w:color w:val="auto"/>
          <w:sz w:val="24"/>
          <w:highlight w:val="none"/>
          <w:lang w:val="en-US"/>
        </w:rPr>
        <w:t>响应截止时间和</w:t>
      </w:r>
      <w:r>
        <w:rPr>
          <w:rStyle w:val="62"/>
          <w:rFonts w:hint="eastAsia" w:ascii="仿宋" w:hAnsi="仿宋" w:eastAsia="仿宋" w:cs="仿宋"/>
          <w:color w:val="auto"/>
          <w:sz w:val="24"/>
          <w:highlight w:val="none"/>
          <w:lang w:val="en-US" w:eastAsia="zh-CN"/>
        </w:rPr>
        <w:t>开启</w:t>
      </w:r>
      <w:r>
        <w:rPr>
          <w:rStyle w:val="62"/>
          <w:rFonts w:hint="eastAsia" w:ascii="仿宋" w:hAnsi="仿宋" w:eastAsia="仿宋" w:cs="仿宋"/>
          <w:color w:val="auto"/>
          <w:sz w:val="24"/>
          <w:highlight w:val="none"/>
          <w:lang w:val="en-US"/>
        </w:rPr>
        <w:t>时间：</w:t>
      </w:r>
      <w:r>
        <w:rPr>
          <w:rStyle w:val="62"/>
          <w:rFonts w:hint="eastAsia" w:ascii="仿宋" w:hAnsi="仿宋" w:eastAsia="仿宋" w:cs="仿宋"/>
          <w:color w:val="auto"/>
          <w:sz w:val="24"/>
          <w:highlight w:val="none"/>
          <w:lang w:val="en-US" w:eastAsia="zh-CN"/>
        </w:rPr>
        <w:t xml:space="preserve"> 2026年6月5日下午15:00</w:t>
      </w:r>
    </w:p>
    <w:p w14:paraId="2177C14F">
      <w:pPr>
        <w:spacing w:line="360" w:lineRule="auto"/>
        <w:ind w:firstLine="480" w:firstLineChars="200"/>
        <w:rPr>
          <w:rStyle w:val="62"/>
          <w:rFonts w:hint="eastAsia" w:ascii="仿宋" w:hAnsi="仿宋" w:eastAsia="仿宋" w:cs="仿宋"/>
          <w:color w:val="auto"/>
          <w:sz w:val="24"/>
          <w:highlight w:val="none"/>
          <w:lang w:val="en-US" w:eastAsia="zh-CN"/>
        </w:rPr>
      </w:pPr>
      <w:r>
        <w:rPr>
          <w:rStyle w:val="62"/>
          <w:rFonts w:hint="eastAsia" w:ascii="仿宋" w:hAnsi="仿宋" w:eastAsia="仿宋" w:cs="仿宋"/>
          <w:color w:val="auto"/>
          <w:sz w:val="24"/>
          <w:highlight w:val="none"/>
          <w:lang w:val="en-US" w:eastAsia="zh-CN"/>
        </w:rPr>
        <w:t>2.响应文件开启、评审</w:t>
      </w:r>
      <w:r>
        <w:rPr>
          <w:rStyle w:val="62"/>
          <w:rFonts w:hint="eastAsia" w:ascii="仿宋" w:hAnsi="仿宋" w:eastAsia="仿宋" w:cs="仿宋"/>
          <w:color w:val="auto"/>
          <w:sz w:val="24"/>
          <w:highlight w:val="none"/>
          <w:lang w:val="en-US"/>
        </w:rPr>
        <w:t>地点：</w:t>
      </w:r>
      <w:r>
        <w:rPr>
          <w:rStyle w:val="62"/>
          <w:rFonts w:hint="eastAsia" w:ascii="仿宋" w:hAnsi="仿宋" w:eastAsia="仿宋" w:cs="仿宋"/>
          <w:color w:val="auto"/>
          <w:sz w:val="24"/>
          <w:highlight w:val="none"/>
          <w:lang w:val="en-US" w:eastAsia="zh-CN"/>
        </w:rPr>
        <w:t>江西省赣州市章贡区江南宋城历史文化旅游区百家岭8号1楼会议室</w:t>
      </w:r>
    </w:p>
    <w:p w14:paraId="725455DC">
      <w:pPr>
        <w:pStyle w:val="3"/>
        <w:numPr>
          <w:ilvl w:val="1"/>
          <w:numId w:val="0"/>
        </w:numPr>
        <w:spacing w:before="0" w:after="0" w:line="560" w:lineRule="exact"/>
        <w:ind w:left="0" w:leftChars="0" w:firstLine="403"/>
        <w:outlineLvl w:val="9"/>
        <w:rPr>
          <w:rFonts w:hint="eastAsia" w:ascii="仿宋" w:hAnsi="仿宋" w:eastAsia="仿宋" w:cs="仿宋"/>
          <w:color w:val="auto"/>
          <w:sz w:val="28"/>
          <w:szCs w:val="28"/>
          <w:highlight w:val="none"/>
          <w:lang w:val="en-US" w:eastAsia="zh-CN"/>
        </w:rPr>
      </w:pPr>
      <w:bookmarkStart w:id="19" w:name="_Toc24321"/>
      <w:bookmarkStart w:id="20" w:name="_Toc22954"/>
      <w:r>
        <w:rPr>
          <w:rFonts w:hint="eastAsia" w:ascii="仿宋" w:hAnsi="仿宋" w:eastAsia="仿宋" w:cs="仿宋"/>
          <w:color w:val="auto"/>
          <w:sz w:val="28"/>
          <w:szCs w:val="28"/>
          <w:highlight w:val="none"/>
          <w:lang w:val="en-US" w:eastAsia="zh-CN"/>
        </w:rPr>
        <w:t>8.合同签订及付款条件</w:t>
      </w:r>
      <w:bookmarkEnd w:id="19"/>
      <w:bookmarkEnd w:id="20"/>
    </w:p>
    <w:p w14:paraId="64D34ECA">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8.1合同签订：</w:t>
      </w:r>
    </w:p>
    <w:p w14:paraId="4FB21A99">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（1）入围框架协议的供应商应与赣州景区建设运营有限公司签订框架协议。</w:t>
      </w:r>
      <w:r>
        <w:rPr>
          <w:rStyle w:val="62"/>
          <w:rFonts w:hint="eastAsia" w:ascii="仿宋" w:hAnsi="仿宋" w:eastAsia="仿宋" w:cs="仿宋"/>
          <w:b w:val="0"/>
          <w:bCs w:val="0"/>
          <w:color w:val="auto"/>
          <w:sz w:val="24"/>
          <w:highlight w:val="none"/>
          <w:lang w:val="en-US" w:eastAsia="zh-CN"/>
        </w:rPr>
        <w:t>采购人从入围供应商按照报价下浮率由高到低的排名顺序选定供应商签订正式采购合同，排名靠前的供应商享有优先签订正式采购合同权</w:t>
      </w:r>
      <w:r>
        <w:rPr>
          <w:rFonts w:hint="eastAsia" w:ascii="仿宋" w:hAnsi="仿宋" w:eastAsia="仿宋" w:cs="仿宋"/>
          <w:color w:val="auto"/>
          <w:highlight w:val="none"/>
          <w:lang w:val="en-US" w:eastAsia="zh-CN"/>
        </w:rPr>
        <w:t>。</w:t>
      </w:r>
    </w:p>
    <w:p w14:paraId="4E886C3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本项目实行履约保证金制度。履约保证金金额为按成交供应商报价下浮率折算后的合同估算价的5%。成交供应商应在收到成交通知书之日起7日内提交履约保证金，待合同全部履行完毕且无违约情形后，采购人一次性无息退还。</w:t>
      </w:r>
    </w:p>
    <w:p w14:paraId="2E354460">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8.2付款条件：</w:t>
      </w:r>
    </w:p>
    <w:p w14:paraId="3A80EABC">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按月据实结算，结算周期为每个自然月（例如：1月的结算周期为1月1日至1月31日）。供应商应于每月5日前，就上一结算周期的账目与采购人进行核对。经双方核对无误后，供应商须按照采购人提供的统一模板制作电子版对账单，并将该对账周期内完整的送货单凭证整理成册，一并提交至采购人。采购人确认无误后，通知供应商签署书面结算清单，并同步提供开票明细。供应商应在付款前向采购人开具与结算金额等额的增值税专用发票。采购人收到合规发票后，按约定支付相应款项。</w:t>
      </w:r>
    </w:p>
    <w:p w14:paraId="086F57FB">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本次采购为赣州景区建设运营有限公司经营性采购，为避免因进项税额不足以抵扣销项税额而可能产生的亏损，如中标人系小规模纳税人，采购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p>
    <w:p w14:paraId="628FE70C">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1" w:name="_Toc8456"/>
      <w:bookmarkStart w:id="22" w:name="_Toc763"/>
      <w:r>
        <w:rPr>
          <w:rFonts w:hint="eastAsia" w:ascii="仿宋" w:hAnsi="仿宋" w:eastAsia="仿宋" w:cs="仿宋"/>
          <w:b/>
          <w:color w:val="auto"/>
          <w:kern w:val="2"/>
          <w:sz w:val="28"/>
          <w:szCs w:val="28"/>
          <w:lang w:val="en-US" w:eastAsia="zh-CN" w:bidi="ar-SA"/>
        </w:rPr>
        <w:t>9.</w:t>
      </w:r>
      <w:r>
        <w:rPr>
          <w:rFonts w:hint="eastAsia" w:ascii="仿宋" w:hAnsi="仿宋" w:eastAsia="仿宋" w:cs="仿宋"/>
          <w:color w:val="auto"/>
          <w:sz w:val="28"/>
          <w:szCs w:val="28"/>
          <w:highlight w:val="none"/>
        </w:rPr>
        <w:t>发布公告的媒介</w:t>
      </w:r>
      <w:bookmarkEnd w:id="21"/>
      <w:bookmarkEnd w:id="22"/>
    </w:p>
    <w:p w14:paraId="57C51D88">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rPr>
        <w:t>本次</w:t>
      </w:r>
      <w:r>
        <w:rPr>
          <w:rFonts w:hint="eastAsia" w:ascii="仿宋" w:hAnsi="仿宋" w:eastAsia="仿宋" w:cs="仿宋"/>
          <w:color w:val="auto"/>
          <w:highlight w:val="none"/>
          <w:lang w:val="en-US" w:eastAsia="zh-CN"/>
        </w:rPr>
        <w:t>征集</w:t>
      </w:r>
      <w:r>
        <w:rPr>
          <w:rFonts w:hint="eastAsia" w:ascii="仿宋" w:hAnsi="仿宋" w:eastAsia="仿宋" w:cs="仿宋"/>
          <w:color w:val="auto"/>
          <w:highlight w:val="none"/>
        </w:rPr>
        <w:t>公告在</w:t>
      </w:r>
      <w:r>
        <w:rPr>
          <w:rFonts w:hint="eastAsia" w:ascii="仿宋" w:hAnsi="仿宋" w:eastAsia="仿宋" w:cs="仿宋"/>
          <w:color w:val="auto"/>
          <w:highlight w:val="none"/>
          <w:u w:val="none"/>
          <w:lang w:eastAsia="zh-CN"/>
        </w:rPr>
        <w:t>赣州旅游投资集团官网、宋潮</w:t>
      </w:r>
      <w:r>
        <w:rPr>
          <w:rFonts w:hint="eastAsia" w:ascii="仿宋" w:hAnsi="仿宋" w:eastAsia="仿宋" w:cs="仿宋"/>
          <w:color w:val="auto"/>
          <w:highlight w:val="none"/>
          <w:u w:val="none"/>
          <w:lang w:val="en-US" w:eastAsia="zh-CN"/>
        </w:rPr>
        <w:t>不夜城资讯</w:t>
      </w:r>
      <w:r>
        <w:rPr>
          <w:rFonts w:hint="eastAsia" w:ascii="仿宋" w:hAnsi="仿宋" w:eastAsia="仿宋" w:cs="仿宋"/>
          <w:color w:val="auto"/>
          <w:highlight w:val="none"/>
          <w:u w:val="none"/>
          <w:lang w:eastAsia="zh-CN"/>
        </w:rPr>
        <w:t>平台</w:t>
      </w:r>
      <w:r>
        <w:rPr>
          <w:rFonts w:hint="eastAsia" w:ascii="仿宋" w:hAnsi="仿宋" w:eastAsia="仿宋" w:cs="仿宋"/>
          <w:color w:val="auto"/>
          <w:highlight w:val="none"/>
        </w:rPr>
        <w:t>发布。</w:t>
      </w:r>
    </w:p>
    <w:p w14:paraId="40A5DA2C">
      <w:pPr>
        <w:pStyle w:val="3"/>
        <w:numPr>
          <w:ilvl w:val="1"/>
          <w:numId w:val="0"/>
        </w:numPr>
        <w:spacing w:before="0" w:after="0" w:line="560" w:lineRule="exact"/>
        <w:ind w:left="0" w:leftChars="0" w:firstLine="403" w:firstLineChars="0"/>
        <w:outlineLvl w:val="9"/>
        <w:rPr>
          <w:rFonts w:hint="eastAsia" w:ascii="仿宋" w:hAnsi="仿宋" w:eastAsia="仿宋" w:cs="仿宋"/>
          <w:color w:val="auto"/>
          <w:sz w:val="28"/>
          <w:szCs w:val="28"/>
          <w:highlight w:val="none"/>
        </w:rPr>
      </w:pPr>
      <w:bookmarkStart w:id="23" w:name="_Toc22412"/>
      <w:bookmarkStart w:id="24" w:name="_Toc6094"/>
      <w:r>
        <w:rPr>
          <w:rFonts w:hint="eastAsia" w:ascii="仿宋" w:hAnsi="仿宋" w:eastAsia="仿宋" w:cs="仿宋"/>
          <w:b/>
          <w:color w:val="auto"/>
          <w:kern w:val="2"/>
          <w:sz w:val="28"/>
          <w:szCs w:val="28"/>
          <w:lang w:val="en-US" w:eastAsia="zh-CN" w:bidi="ar-SA"/>
        </w:rPr>
        <w:t>10.</w:t>
      </w:r>
      <w:r>
        <w:rPr>
          <w:rFonts w:hint="eastAsia" w:ascii="仿宋" w:hAnsi="仿宋" w:eastAsia="仿宋" w:cs="仿宋"/>
          <w:color w:val="auto"/>
          <w:sz w:val="28"/>
          <w:szCs w:val="28"/>
          <w:highlight w:val="none"/>
        </w:rPr>
        <w:t>联系方式</w:t>
      </w:r>
      <w:bookmarkEnd w:id="23"/>
      <w:bookmarkEnd w:id="24"/>
    </w:p>
    <w:p w14:paraId="15798D0E">
      <w:pPr>
        <w:widowControl/>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rPr>
        <w:t>1</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人信息</w:t>
      </w:r>
    </w:p>
    <w:p w14:paraId="53F57CE5">
      <w:pPr>
        <w:spacing w:line="360" w:lineRule="auto"/>
        <w:ind w:firstLine="480" w:firstLineChars="200"/>
        <w:jc w:val="left"/>
        <w:rPr>
          <w:rFonts w:hint="eastAsia" w:ascii="仿宋" w:hAnsi="仿宋" w:eastAsia="仿宋" w:cs="仿宋"/>
          <w:color w:val="auto"/>
          <w:highlight w:val="none"/>
          <w:u w:val="none"/>
          <w:lang w:eastAsia="zh-CN"/>
        </w:rPr>
      </w:pPr>
      <w:r>
        <w:rPr>
          <w:rFonts w:hint="eastAsia" w:ascii="仿宋" w:hAnsi="仿宋" w:eastAsia="仿宋" w:cs="仿宋"/>
          <w:color w:val="auto"/>
          <w:highlight w:val="none"/>
        </w:rPr>
        <w:t>名称：</w:t>
      </w:r>
      <w:r>
        <w:rPr>
          <w:rFonts w:hint="eastAsia" w:ascii="仿宋" w:hAnsi="仿宋" w:eastAsia="仿宋" w:cs="仿宋"/>
          <w:color w:val="auto"/>
          <w:highlight w:val="none"/>
          <w:u w:val="none"/>
        </w:rPr>
        <w:tab/>
      </w:r>
      <w:r>
        <w:rPr>
          <w:rFonts w:hint="eastAsia" w:ascii="仿宋" w:hAnsi="仿宋" w:eastAsia="仿宋" w:cs="仿宋"/>
          <w:color w:val="auto"/>
          <w:highlight w:val="none"/>
          <w:u w:val="none"/>
          <w:lang w:eastAsia="zh-CN"/>
        </w:rPr>
        <w:t>赣州景区建设运营有限公司</w:t>
      </w:r>
    </w:p>
    <w:p w14:paraId="33EAFB4C">
      <w:pPr>
        <w:spacing w:line="360" w:lineRule="auto"/>
        <w:ind w:firstLine="480" w:firstLineChars="200"/>
        <w:jc w:val="left"/>
        <w:rPr>
          <w:rFonts w:hint="default" w:ascii="仿宋" w:hAnsi="仿宋" w:eastAsia="仿宋" w:cs="仿宋"/>
          <w:color w:val="auto"/>
          <w:highlight w:val="none"/>
          <w:u w:val="none"/>
          <w:lang w:val="en-US" w:eastAsia="zh-CN"/>
        </w:rPr>
      </w:pPr>
      <w:r>
        <w:rPr>
          <w:rFonts w:hint="eastAsia" w:ascii="仿宋" w:hAnsi="仿宋" w:eastAsia="仿宋" w:cs="仿宋"/>
          <w:color w:val="auto"/>
          <w:highlight w:val="none"/>
        </w:rPr>
        <w:t>地址：</w:t>
      </w:r>
      <w:r>
        <w:rPr>
          <w:rFonts w:hint="eastAsia" w:ascii="仿宋" w:hAnsi="仿宋" w:eastAsia="仿宋" w:cs="仿宋"/>
          <w:color w:val="auto"/>
          <w:highlight w:val="none"/>
          <w:u w:val="none"/>
          <w:lang w:val="en-US" w:eastAsia="zh-CN"/>
        </w:rPr>
        <w:t>江西省赣州市章贡区江南宋城历史文化旅游区百家岭8号1楼会议室</w:t>
      </w:r>
    </w:p>
    <w:p w14:paraId="443A100E">
      <w:pPr>
        <w:spacing w:line="360" w:lineRule="auto"/>
        <w:ind w:firstLine="480" w:firstLineChars="200"/>
        <w:jc w:val="left"/>
        <w:rPr>
          <w:rFonts w:hint="default" w:ascii="仿宋" w:hAnsi="仿宋" w:eastAsia="仿宋" w:cs="仿宋"/>
          <w:color w:val="auto"/>
          <w:highlight w:val="none"/>
          <w:u w:val="none"/>
          <w:lang w:val="en-US" w:eastAsia="zh-CN"/>
        </w:rPr>
      </w:pPr>
      <w:r>
        <w:rPr>
          <w:rFonts w:hint="eastAsia" w:ascii="仿宋" w:hAnsi="仿宋" w:eastAsia="仿宋" w:cs="仿宋"/>
          <w:color w:val="auto"/>
          <w:highlight w:val="none"/>
          <w:u w:val="none"/>
        </w:rPr>
        <w:t>联系方式：</w:t>
      </w:r>
      <w:r>
        <w:rPr>
          <w:rFonts w:hint="eastAsia" w:ascii="仿宋" w:hAnsi="仿宋" w:eastAsia="仿宋" w:cs="仿宋"/>
          <w:color w:val="auto"/>
          <w:highlight w:val="none"/>
          <w:u w:val="none"/>
          <w:lang w:val="en-US" w:eastAsia="zh-CN"/>
        </w:rPr>
        <w:t xml:space="preserve">汤先生，18070374336 </w:t>
      </w:r>
    </w:p>
    <w:p w14:paraId="3ED2BAD9">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10.2</w:t>
      </w:r>
      <w:r>
        <w:rPr>
          <w:rFonts w:hint="eastAsia" w:ascii="仿宋" w:hAnsi="仿宋" w:eastAsia="仿宋" w:cs="仿宋"/>
          <w:color w:val="auto"/>
          <w:sz w:val="24"/>
          <w:highlight w:val="none"/>
        </w:rPr>
        <w:t>监督部门及联系方式</w:t>
      </w:r>
    </w:p>
    <w:p w14:paraId="6BC6DF63">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监督部门：</w:t>
      </w:r>
      <w:r>
        <w:rPr>
          <w:rFonts w:hint="eastAsia" w:ascii="仿宋" w:hAnsi="仿宋" w:eastAsia="仿宋" w:cs="仿宋"/>
          <w:color w:val="auto"/>
          <w:sz w:val="24"/>
          <w:highlight w:val="none"/>
          <w:u w:val="none"/>
        </w:rPr>
        <w:t>赣州市纪委市监委驻旅投集团纪检监察组</w:t>
      </w:r>
    </w:p>
    <w:p w14:paraId="571540A7">
      <w:pPr>
        <w:pStyle w:val="14"/>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none"/>
        </w:rPr>
        <w:t>江西省赣州市章贡区赣江源大道15号</w:t>
      </w:r>
    </w:p>
    <w:p w14:paraId="5429D8A4">
      <w:pPr>
        <w:pStyle w:val="14"/>
        <w:spacing w:line="360" w:lineRule="auto"/>
        <w:ind w:firstLine="480" w:firstLineChars="200"/>
        <w:rPr>
          <w:rFonts w:hint="eastAsia" w:ascii="仿宋" w:hAnsi="仿宋" w:eastAsia="仿宋" w:cs="仿宋"/>
          <w:bCs/>
          <w:color w:val="auto"/>
          <w:sz w:val="24"/>
          <w:highlight w:val="none"/>
          <w:u w:val="none"/>
          <w:lang w:val="en-US" w:eastAsia="zh-CN"/>
        </w:rPr>
      </w:pPr>
      <w:r>
        <w:rPr>
          <w:rFonts w:hint="eastAsia" w:ascii="仿宋" w:hAnsi="仿宋" w:eastAsia="仿宋" w:cs="仿宋"/>
          <w:bCs/>
          <w:color w:val="auto"/>
          <w:sz w:val="24"/>
          <w:highlight w:val="none"/>
        </w:rPr>
        <w:t>电话：</w:t>
      </w:r>
      <w:r>
        <w:rPr>
          <w:rFonts w:hint="eastAsia" w:ascii="仿宋" w:hAnsi="仿宋" w:eastAsia="仿宋" w:cs="仿宋"/>
          <w:bCs/>
          <w:color w:val="auto"/>
          <w:sz w:val="24"/>
          <w:highlight w:val="none"/>
          <w:u w:val="none"/>
        </w:rPr>
        <w:t>0797-</w:t>
      </w:r>
      <w:r>
        <w:rPr>
          <w:rFonts w:hint="eastAsia" w:ascii="仿宋" w:hAnsi="仿宋" w:eastAsia="仿宋" w:cs="仿宋"/>
          <w:bCs/>
          <w:color w:val="auto"/>
          <w:sz w:val="24"/>
          <w:highlight w:val="none"/>
          <w:u w:val="none"/>
          <w:lang w:val="en-US" w:eastAsia="zh-CN"/>
        </w:rPr>
        <w:t>5550580</w:t>
      </w:r>
    </w:p>
    <w:p w14:paraId="129EB3B6">
      <w:pPr>
        <w:pStyle w:val="14"/>
        <w:spacing w:line="360" w:lineRule="auto"/>
        <w:ind w:firstLine="480" w:firstLineChars="200"/>
        <w:jc w:val="right"/>
        <w:rPr>
          <w:rFonts w:hint="eastAsia" w:ascii="仿宋" w:hAnsi="仿宋" w:eastAsia="仿宋" w:cs="仿宋"/>
          <w:bCs/>
          <w:color w:val="auto"/>
          <w:sz w:val="24"/>
          <w:highlight w:val="none"/>
          <w:u w:val="none"/>
          <w:lang w:val="en-US" w:eastAsia="zh-CN"/>
        </w:rPr>
      </w:pPr>
    </w:p>
    <w:p w14:paraId="66F52021">
      <w:pPr>
        <w:pStyle w:val="14"/>
        <w:spacing w:line="360" w:lineRule="auto"/>
        <w:ind w:firstLine="480" w:firstLineChars="200"/>
        <w:jc w:val="right"/>
        <w:rPr>
          <w:rFonts w:hint="eastAsia" w:ascii="仿宋" w:hAnsi="仿宋" w:eastAsia="仿宋" w:cs="仿宋"/>
          <w:bCs/>
          <w:color w:val="auto"/>
          <w:sz w:val="24"/>
          <w:highlight w:val="none"/>
          <w:u w:val="none"/>
          <w:lang w:val="en-US" w:eastAsia="zh-CN"/>
        </w:rPr>
        <w:sectPr>
          <w:footerReference r:id="rId4" w:type="default"/>
          <w:pgSz w:w="11906" w:h="16838"/>
          <w:pgMar w:top="1440" w:right="1800" w:bottom="1440" w:left="1800" w:header="851" w:footer="992" w:gutter="0"/>
          <w:pgNumType w:start="1"/>
          <w:cols w:space="720" w:num="1"/>
          <w:docGrid w:type="lines" w:linePitch="312" w:charSpace="0"/>
        </w:sectPr>
      </w:pPr>
      <w:r>
        <w:rPr>
          <w:rFonts w:hint="eastAsia" w:ascii="仿宋" w:hAnsi="仿宋" w:eastAsia="仿宋" w:cs="仿宋"/>
          <w:bCs/>
          <w:color w:val="auto"/>
          <w:sz w:val="24"/>
          <w:highlight w:val="none"/>
          <w:u w:val="none"/>
          <w:lang w:val="en-US" w:eastAsia="zh-CN"/>
        </w:rPr>
        <w:t>2026年5月</w:t>
      </w:r>
      <w:r>
        <w:rPr>
          <w:rStyle w:val="62"/>
          <w:rFonts w:hint="eastAsia" w:ascii="仿宋" w:hAnsi="仿宋" w:eastAsia="仿宋" w:cs="仿宋"/>
          <w:color w:val="auto"/>
          <w:sz w:val="24"/>
          <w:highlight w:val="none"/>
          <w:lang w:val="en-US" w:eastAsia="zh-CN"/>
        </w:rPr>
        <w:t>14</w:t>
      </w:r>
      <w:r>
        <w:rPr>
          <w:rFonts w:hint="eastAsia" w:ascii="仿宋" w:hAnsi="仿宋" w:eastAsia="仿宋" w:cs="仿宋"/>
          <w:bCs/>
          <w:color w:val="auto"/>
          <w:sz w:val="24"/>
          <w:highlight w:val="none"/>
          <w:u w:val="none"/>
          <w:lang w:val="en-US" w:eastAsia="zh-CN"/>
        </w:rPr>
        <w:t>日</w:t>
      </w:r>
    </w:p>
    <w:p w14:paraId="0ECE3374">
      <w:pPr>
        <w:pStyle w:val="2"/>
        <w:numPr>
          <w:ilvl w:val="0"/>
          <w:numId w:val="0"/>
        </w:numPr>
        <w:spacing w:before="200" w:after="200" w:line="560" w:lineRule="exact"/>
        <w:jc w:val="center"/>
        <w:rPr>
          <w:rFonts w:hint="eastAsia" w:ascii="仿宋" w:hAnsi="仿宋" w:eastAsia="仿宋" w:cs="仿宋"/>
          <w:color w:val="auto"/>
          <w:highlight w:val="none"/>
        </w:rPr>
      </w:pPr>
      <w:bookmarkStart w:id="25" w:name="_Toc24391"/>
      <w:bookmarkStart w:id="26" w:name="_Toc15567"/>
      <w:bookmarkStart w:id="27" w:name="投标人须知"/>
      <w:r>
        <w:rPr>
          <w:rFonts w:hint="eastAsia" w:ascii="仿宋" w:hAnsi="仿宋" w:eastAsia="仿宋" w:cs="仿宋"/>
          <w:color w:val="auto"/>
          <w:highlight w:val="none"/>
        </w:rPr>
        <w:t>第二</w:t>
      </w:r>
      <w:r>
        <w:rPr>
          <w:rFonts w:hint="eastAsia" w:ascii="仿宋" w:hAnsi="仿宋" w:eastAsia="仿宋" w:cs="仿宋"/>
          <w:color w:val="auto"/>
          <w:highlight w:val="none"/>
          <w:lang w:val="en-US" w:eastAsia="zh-CN"/>
        </w:rPr>
        <w:t>章</w:t>
      </w:r>
      <w:r>
        <w:rPr>
          <w:rFonts w:hint="eastAsia" w:ascii="仿宋" w:hAnsi="仿宋" w:eastAsia="仿宋" w:cs="仿宋"/>
          <w:color w:val="auto"/>
          <w:highlight w:val="none"/>
        </w:rPr>
        <w:t xml:space="preserve">  </w:t>
      </w:r>
      <w:r>
        <w:rPr>
          <w:rFonts w:hint="eastAsia" w:ascii="仿宋" w:hAnsi="仿宋" w:eastAsia="仿宋" w:cs="仿宋"/>
          <w:color w:val="auto"/>
          <w:highlight w:val="none"/>
          <w:lang w:val="en-US" w:eastAsia="zh-CN"/>
        </w:rPr>
        <w:t>供应商</w:t>
      </w:r>
      <w:r>
        <w:rPr>
          <w:rFonts w:hint="eastAsia" w:ascii="仿宋" w:hAnsi="仿宋" w:eastAsia="仿宋" w:cs="仿宋"/>
          <w:color w:val="auto"/>
          <w:highlight w:val="none"/>
        </w:rPr>
        <w:t>须知</w:t>
      </w:r>
      <w:bookmarkEnd w:id="25"/>
      <w:bookmarkEnd w:id="26"/>
    </w:p>
    <w:bookmarkEnd w:id="27"/>
    <w:p w14:paraId="6A89E4F4">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28" w:name="_Toc14038"/>
      <w:bookmarkStart w:id="29" w:name="_Toc3628"/>
      <w:bookmarkStart w:id="30" w:name="投标格式"/>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采购</w:t>
      </w:r>
      <w:r>
        <w:rPr>
          <w:rFonts w:hint="eastAsia" w:ascii="仿宋" w:hAnsi="仿宋" w:eastAsia="仿宋" w:cs="仿宋"/>
          <w:color w:val="auto"/>
          <w:sz w:val="28"/>
          <w:szCs w:val="28"/>
        </w:rPr>
        <w:t>项目概况</w:t>
      </w:r>
      <w:bookmarkEnd w:id="28"/>
      <w:bookmarkEnd w:id="29"/>
    </w:p>
    <w:p w14:paraId="35000729">
      <w:pPr>
        <w:spacing w:line="360" w:lineRule="auto"/>
        <w:ind w:firstLine="480" w:firstLineChars="200"/>
        <w:outlineLvl w:val="9"/>
        <w:rPr>
          <w:rFonts w:hint="eastAsia" w:ascii="仿宋" w:hAnsi="仿宋" w:eastAsia="仿宋" w:cs="仿宋"/>
          <w:color w:val="auto"/>
          <w:highlight w:val="none"/>
          <w:lang w:eastAsia="zh-CN"/>
        </w:rPr>
      </w:pPr>
      <w:r>
        <w:rPr>
          <w:rFonts w:hint="eastAsia" w:ascii="仿宋" w:hAnsi="仿宋" w:eastAsia="仿宋" w:cs="仿宋"/>
          <w:color w:val="auto"/>
          <w:highlight w:val="none"/>
        </w:rPr>
        <w:t>1.1</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人：</w:t>
      </w:r>
      <w:r>
        <w:rPr>
          <w:rFonts w:hint="eastAsia" w:ascii="仿宋" w:hAnsi="仿宋" w:eastAsia="仿宋" w:cs="仿宋"/>
          <w:color w:val="auto"/>
          <w:highlight w:val="none"/>
          <w:u w:val="none"/>
          <w:lang w:eastAsia="zh-CN"/>
        </w:rPr>
        <w:t>赣州景区建设运营有限公司</w:t>
      </w:r>
    </w:p>
    <w:p w14:paraId="67205317">
      <w:pPr>
        <w:numPr>
          <w:ilvl w:val="-1"/>
          <w:numId w:val="0"/>
        </w:numPr>
        <w:spacing w:line="360" w:lineRule="auto"/>
        <w:ind w:firstLine="480"/>
        <w:jc w:val="left"/>
        <w:rPr>
          <w:rFonts w:hint="eastAsia" w:ascii="仿宋" w:hAnsi="仿宋" w:eastAsia="仿宋" w:cs="仿宋"/>
          <w:b/>
          <w:color w:val="auto"/>
          <w:kern w:val="0"/>
          <w:sz w:val="32"/>
          <w:szCs w:val="20"/>
          <w:highlight w:val="none"/>
          <w:u w:val="single"/>
          <w:lang w:val="en-US" w:eastAsia="zh-CN" w:bidi="ar-SA"/>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lang w:eastAsia="zh-CN"/>
        </w:rPr>
        <w:t>采购</w:t>
      </w:r>
      <w:r>
        <w:rPr>
          <w:rFonts w:hint="eastAsia" w:ascii="仿宋" w:hAnsi="仿宋" w:eastAsia="仿宋" w:cs="仿宋"/>
          <w:color w:val="auto"/>
          <w:highlight w:val="none"/>
        </w:rPr>
        <w:t>项目名称：</w:t>
      </w:r>
      <w:r>
        <w:rPr>
          <w:rFonts w:hint="eastAsia" w:ascii="仿宋" w:hAnsi="仿宋" w:eastAsia="仿宋" w:cs="仿宋"/>
          <w:color w:val="auto"/>
          <w:highlight w:val="none"/>
          <w:u w:val="none"/>
          <w:lang w:eastAsia="zh-CN"/>
        </w:rPr>
        <w:t>赣州景区建设运营有限公司猪肉类产品2026</w:t>
      </w:r>
      <w:r>
        <w:rPr>
          <w:rFonts w:hint="eastAsia" w:ascii="仿宋" w:hAnsi="仿宋" w:eastAsia="仿宋" w:cs="仿宋"/>
          <w:color w:val="auto"/>
          <w:highlight w:val="none"/>
          <w:u w:val="none"/>
          <w:lang w:val="en-US" w:eastAsia="zh-CN"/>
        </w:rPr>
        <w:t>-2027</w:t>
      </w:r>
      <w:r>
        <w:rPr>
          <w:rFonts w:hint="eastAsia" w:ascii="仿宋" w:hAnsi="仿宋" w:eastAsia="仿宋" w:cs="仿宋"/>
          <w:color w:val="auto"/>
          <w:highlight w:val="none"/>
          <w:u w:val="none"/>
          <w:lang w:eastAsia="zh-CN"/>
        </w:rPr>
        <w:t>年度框架协议供应商入围征集项目。</w:t>
      </w:r>
    </w:p>
    <w:p w14:paraId="4A7F9149">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1" w:name="_Toc6011"/>
      <w:bookmarkStart w:id="32" w:name="_Toc4925"/>
      <w:r>
        <w:rPr>
          <w:rFonts w:hint="eastAsia" w:ascii="仿宋" w:hAnsi="仿宋" w:eastAsia="仿宋" w:cs="仿宋"/>
          <w:b/>
          <w:color w:val="auto"/>
          <w:kern w:val="2"/>
          <w:sz w:val="28"/>
          <w:szCs w:val="28"/>
          <w:lang w:val="en-US" w:eastAsia="zh-CN" w:bidi="ar-SA"/>
        </w:rPr>
        <w:t>2.采购范围、交货期、交货地点和质量标准</w:t>
      </w:r>
      <w:bookmarkEnd w:id="31"/>
      <w:bookmarkEnd w:id="32"/>
      <w:r>
        <w:rPr>
          <w:rFonts w:hint="eastAsia" w:ascii="仿宋" w:hAnsi="仿宋" w:eastAsia="仿宋" w:cs="仿宋"/>
          <w:color w:val="auto"/>
          <w:sz w:val="28"/>
          <w:szCs w:val="28"/>
          <w:lang w:val="en-US" w:eastAsia="zh-CN"/>
        </w:rPr>
        <w:t xml:space="preserve"> </w:t>
      </w:r>
    </w:p>
    <w:p w14:paraId="7C54993D">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2.1采购范围：</w:t>
      </w:r>
      <w:r>
        <w:rPr>
          <w:rFonts w:hint="eastAsia" w:ascii="仿宋" w:hAnsi="仿宋" w:eastAsia="仿宋" w:cs="仿宋"/>
          <w:color w:val="auto"/>
          <w:highlight w:val="none"/>
          <w:lang w:eastAsia="zh-CN"/>
        </w:rPr>
        <w:t>赣州景区建设运营有限公司2026</w:t>
      </w:r>
      <w:r>
        <w:rPr>
          <w:rFonts w:hint="eastAsia" w:ascii="仿宋" w:hAnsi="仿宋" w:eastAsia="仿宋" w:cs="仿宋"/>
          <w:color w:val="auto"/>
          <w:highlight w:val="none"/>
          <w:lang w:val="en-US" w:eastAsia="zh-CN"/>
        </w:rPr>
        <w:t>-2027</w:t>
      </w:r>
      <w:r>
        <w:rPr>
          <w:rFonts w:hint="eastAsia" w:ascii="仿宋" w:hAnsi="仿宋" w:eastAsia="仿宋" w:cs="仿宋"/>
          <w:color w:val="auto"/>
          <w:highlight w:val="none"/>
          <w:lang w:eastAsia="zh-CN"/>
        </w:rPr>
        <w:t>年度</w:t>
      </w:r>
      <w:r>
        <w:rPr>
          <w:rFonts w:hint="eastAsia" w:ascii="仿宋" w:hAnsi="仿宋" w:eastAsia="仿宋" w:cs="仿宋"/>
          <w:color w:val="auto"/>
          <w:highlight w:val="none"/>
          <w:lang w:val="en-US" w:eastAsia="zh-CN"/>
        </w:rPr>
        <w:t xml:space="preserve">猪肉类产品。 </w:t>
      </w:r>
    </w:p>
    <w:p w14:paraId="51949816">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2.2 交货期：服务期为1年，自合同签订之日起12个日历月。 </w:t>
      </w:r>
    </w:p>
    <w:p w14:paraId="400B9266">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 xml:space="preserve">2.3 交货地点：赣州市中心城区。 </w:t>
      </w:r>
    </w:p>
    <w:p w14:paraId="3304E3F3">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 质量标准：</w:t>
      </w:r>
    </w:p>
    <w:p w14:paraId="7800D57E">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2.4.1 供应商的商品质量与包装应当符合国家相关法律法规的规定，符合行业主管部门发布的规定、标准、规范。</w:t>
      </w:r>
    </w:p>
    <w:p w14:paraId="5B502085">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2.4.2 按规定必须经由法定食品检验机构检测的商品，供应商应于采购人采购时向采购人提供同批次产品检验报告或合格证（复印件）。</w:t>
      </w:r>
    </w:p>
    <w:p w14:paraId="13643854">
      <w:pPr>
        <w:numPr>
          <w:ilvl w:val="0"/>
          <w:numId w:val="0"/>
        </w:numPr>
        <w:spacing w:line="360" w:lineRule="auto"/>
        <w:ind w:firstLine="480" w:firstLineChars="200"/>
        <w:jc w:val="left"/>
        <w:rPr>
          <w:rFonts w:hint="eastAsia" w:ascii="仿宋" w:hAnsi="仿宋" w:eastAsia="仿宋" w:cs="仿宋"/>
          <w:color w:val="FF0000"/>
          <w:highlight w:val="none"/>
          <w:lang w:val="en-US" w:eastAsia="zh-CN"/>
        </w:rPr>
      </w:pPr>
      <w:r>
        <w:rPr>
          <w:rFonts w:hint="eastAsia" w:ascii="仿宋" w:hAnsi="仿宋" w:eastAsia="仿宋" w:cs="仿宋"/>
          <w:color w:val="000000" w:themeColor="text1"/>
          <w:highlight w:val="none"/>
          <w:lang w:val="en-US" w:eastAsia="zh-CN"/>
          <w14:textFill>
            <w14:solidFill>
              <w14:schemeClr w14:val="tx1"/>
            </w14:solidFill>
          </w14:textFill>
        </w:rPr>
        <w:t>2.4.3 供应商所供应的猪肉类食材，须随货提供动物检疫合格证明及肉品品质检验合格证，且送达时的剩余保质期不得少于商品明示保质期的1/2。</w:t>
      </w:r>
    </w:p>
    <w:p w14:paraId="7F6BEB18">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2.4.4 采购人经营过程中发生的政府部门按规定进行的涉及供应商所供商品的质量检验，如检验部门收取费用，检验费用承担方式约定为：如商品质量经检验合格，检验费由双方各担50%；商品质量经检验不合格的，检测费由供应商承担（</w:t>
      </w:r>
      <w:r>
        <w:rPr>
          <w:rFonts w:hint="eastAsia" w:ascii="仿宋" w:hAnsi="仿宋" w:eastAsia="仿宋" w:cs="仿宋"/>
          <w:i w:val="0"/>
          <w:iCs w:val="0"/>
          <w:caps w:val="0"/>
          <w:color w:val="000000" w:themeColor="text1"/>
          <w:spacing w:val="0"/>
          <w:sz w:val="24"/>
          <w:szCs w:val="24"/>
          <w:highlight w:val="none"/>
          <w:shd w:val="clear" w:fill="auto"/>
          <w14:textFill>
            <w14:solidFill>
              <w14:schemeClr w14:val="tx1"/>
            </w14:solidFill>
          </w14:textFill>
        </w:rPr>
        <w:t>若因此导致采购人遭受行政处罚的，所产生的一切损失（含行政罚款）均由供应商承担</w:t>
      </w:r>
      <w:r>
        <w:rPr>
          <w:rFonts w:hint="eastAsia" w:ascii="仿宋" w:hAnsi="仿宋" w:eastAsia="仿宋" w:cs="仿宋"/>
          <w:color w:val="000000" w:themeColor="text1"/>
          <w:highlight w:val="none"/>
          <w:lang w:val="en-US" w:eastAsia="zh-CN"/>
          <w14:textFill>
            <w14:solidFill>
              <w14:schemeClr w14:val="tx1"/>
            </w14:solidFill>
          </w14:textFill>
        </w:rPr>
        <w:t>）。因消费者投诉而送检的供应商所供商品，经检验不合格的，检验费用由供应商承担（如因此导致的采购人赔偿与罚款亦由供应商承担）。需供应商承担采购人已支付的检验、检测费用，由采购人向供应商提供检验机构出具的收费凭证（或复印件）。</w:t>
      </w:r>
    </w:p>
    <w:p w14:paraId="5FDCEFC2">
      <w:pPr>
        <w:numPr>
          <w:ilvl w:val="0"/>
          <w:numId w:val="0"/>
        </w:numPr>
        <w:spacing w:line="360" w:lineRule="auto"/>
        <w:ind w:firstLine="480" w:firstLineChars="200"/>
        <w:jc w:val="left"/>
        <w:rPr>
          <w:rFonts w:hint="eastAsia" w:ascii="仿宋" w:hAnsi="仿宋" w:eastAsia="仿宋" w:cs="仿宋"/>
          <w:color w:val="000000" w:themeColor="text1"/>
          <w:highlight w:val="none"/>
          <w:lang w:val="en-US" w:eastAsia="zh-CN"/>
          <w14:textFill>
            <w14:solidFill>
              <w14:schemeClr w14:val="tx1"/>
            </w14:solidFill>
          </w14:textFill>
        </w:rPr>
      </w:pPr>
      <w:r>
        <w:rPr>
          <w:rFonts w:hint="eastAsia" w:ascii="仿宋" w:hAnsi="仿宋" w:eastAsia="仿宋" w:cs="仿宋"/>
          <w:color w:val="000000" w:themeColor="text1"/>
          <w:highlight w:val="none"/>
          <w:lang w:val="en-US" w:eastAsia="zh-CN"/>
          <w14:textFill>
            <w14:solidFill>
              <w14:schemeClr w14:val="tx1"/>
            </w14:solidFill>
          </w14:textFill>
        </w:rPr>
        <w:t>2.4.5 供应商不得向采购人供应下列商品（产品），违反本项约定，供应商应承担由此造成的经济损失及法律责任，并向采购人支付2万元的违约金；采购人有权中止本合同。</w:t>
      </w:r>
    </w:p>
    <w:p w14:paraId="4D01A94E">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（1）不符合《食品安全国家标准鲜（冻）畜、禽产品》（GB 2707）等食品安全国家标准的；</w:t>
      </w:r>
    </w:p>
    <w:p w14:paraId="1EA50A44">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（2）兽药残留、生物毒素、重金属等污染物严重超过食品安全标准限量的；</w:t>
      </w:r>
    </w:p>
    <w:p w14:paraId="0FB2EEBB">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（3）未经检疫或者检疫不合格，或虽经检疫但未能随货提供有效动物检疫合格证明及肉品品质检验合格证的；</w:t>
      </w:r>
    </w:p>
    <w:p w14:paraId="3B840B71">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（4）注水、注胶或注入其他物质，以及使用禁用兽药、化合物进行饲养或加工的；</w:t>
      </w:r>
    </w:p>
    <w:p w14:paraId="4A07EA98">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（5）属于国家为防病等特殊需要明令禁止生产经营的；</w:t>
      </w:r>
    </w:p>
    <w:p w14:paraId="14310C1B">
      <w:pPr>
        <w:numPr>
          <w:ilvl w:val="0"/>
          <w:numId w:val="0"/>
        </w:numPr>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（6）其他严重违反国家法律法规及行政主管部门强制性规定的。</w:t>
      </w:r>
    </w:p>
    <w:p w14:paraId="1853744E">
      <w:pPr>
        <w:numPr>
          <w:ilvl w:val="-1"/>
          <w:numId w:val="0"/>
        </w:numPr>
        <w:spacing w:line="360" w:lineRule="auto"/>
        <w:ind w:firstLine="480" w:firstLineChars="200"/>
        <w:jc w:val="left"/>
        <w:rPr>
          <w:rFonts w:hint="eastAsia" w:ascii="仿宋" w:hAnsi="仿宋" w:eastAsia="仿宋" w:cs="仿宋"/>
          <w:i w:val="0"/>
          <w:iCs w:val="0"/>
          <w:caps w:val="0"/>
          <w:color w:val="auto"/>
          <w:spacing w:val="0"/>
          <w:sz w:val="24"/>
          <w:szCs w:val="24"/>
          <w:highlight w:val="none"/>
          <w:shd w:val="clear"/>
          <w:lang w:val="en-US" w:eastAsia="zh-CN"/>
        </w:rPr>
      </w:pPr>
      <w:r>
        <w:rPr>
          <w:rFonts w:hint="eastAsia" w:ascii="仿宋" w:hAnsi="仿宋" w:eastAsia="仿宋" w:cs="仿宋"/>
          <w:color w:val="auto"/>
          <w:highlight w:val="none"/>
          <w:lang w:val="en-US" w:eastAsia="zh-CN"/>
        </w:rPr>
        <w:t>2.4.6 配送的生鲜肉类应为当日生产的冷鲜肉，保证肉质新鲜，及时配送。应符合GB 2707-2016鲜（冻）畜、禽产品等食品安全国家标准和相关强制性规定。配送的鲜肉类必须在定点屠宰场（或宰杀店）宰杀加工，并经动物卫生检疫机构检疫合格，加盖检疫合格印章和屠宰场印章，并附有《动物产品（B）检疫合格证明》。冷冻肉类必须向经营商索票索证，并报动物卫生检疫机构备案。</w:t>
      </w:r>
    </w:p>
    <w:p w14:paraId="3A9E9B66">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2.4.7 若供应商所售产品经采购人检验有质量瑕疵或系假冒伪劣产品或不符合合同要求的，采购人有权要求退货或换货。如累计3次抽检不合格的，采购人有权要求供应商支付合同总金额10%的违约金并解除合同。</w:t>
      </w:r>
    </w:p>
    <w:p w14:paraId="28847CFB">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2.4.8供应商提供的货物，如在运输过程中出现质量问题，或被有关部门检查中发现问题的，相关赔偿责任均由供应商承担，如采购人因此受到相关经济损失或者需承担相关法律责任的，采购人有权要求供应商承担最终责任。</w:t>
      </w:r>
    </w:p>
    <w:p w14:paraId="62057E12">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2.4.9供应商延迟交货的，每延迟一日按当批货款金额的千分之一支付违约金；延迟超过3日的，采购人有权解除合同并要求供应商赔偿全部损失</w:t>
      </w:r>
      <w:r>
        <w:rPr>
          <w:rFonts w:hint="eastAsia" w:ascii="仿宋" w:hAnsi="仿宋" w:eastAsia="仿宋" w:cs="仿宋"/>
          <w:lang w:val="en-US" w:eastAsia="zh-CN"/>
        </w:rPr>
        <w:t>（</w:t>
      </w:r>
      <w:r>
        <w:rPr>
          <w:rFonts w:hint="eastAsia" w:ascii="仿宋" w:hAnsi="仿宋" w:eastAsia="仿宋" w:cs="仿宋"/>
          <w:color w:val="auto"/>
          <w:highlight w:val="none"/>
          <w:lang w:val="en-US" w:eastAsia="zh-CN"/>
        </w:rPr>
        <w:t>含营业损失、临时采购差价等</w:t>
      </w:r>
      <w:r>
        <w:rPr>
          <w:rFonts w:hint="eastAsia" w:ascii="仿宋" w:hAnsi="仿宋" w:eastAsia="仿宋" w:cs="仿宋"/>
          <w:lang w:val="en-US" w:eastAsia="zh-CN"/>
        </w:rPr>
        <w:t>）</w:t>
      </w:r>
      <w:r>
        <w:rPr>
          <w:rFonts w:hint="eastAsia" w:ascii="仿宋" w:hAnsi="仿宋" w:eastAsia="仿宋" w:cs="仿宋"/>
          <w:color w:val="auto"/>
          <w:highlight w:val="none"/>
          <w:lang w:val="en-US" w:eastAsia="zh-CN"/>
        </w:rPr>
        <w:t>。</w:t>
      </w:r>
    </w:p>
    <w:p w14:paraId="784EB82E">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2.4.10违约方应承担守约方为实现本合同项下权益所支出的所有费用，包括但不限于律师费、诉讼费、执行费、鉴定费、保全费、保全保险费等费用。</w:t>
      </w:r>
    </w:p>
    <w:p w14:paraId="7F7E2B9F">
      <w:pPr>
        <w:spacing w:line="360" w:lineRule="auto"/>
        <w:ind w:firstLine="480" w:firstLineChars="200"/>
        <w:jc w:val="left"/>
        <w:rPr>
          <w:rFonts w:hint="eastAsia" w:ascii="仿宋" w:hAnsi="仿宋" w:eastAsia="仿宋" w:cs="仿宋"/>
          <w:b w:val="0"/>
          <w:bCs w:val="0"/>
          <w:sz w:val="24"/>
          <w:szCs w:val="24"/>
          <w:highlight w:val="none"/>
          <w:lang w:eastAsia="zh-CN"/>
        </w:rPr>
      </w:pPr>
      <w:r>
        <w:rPr>
          <w:rFonts w:hint="eastAsia" w:ascii="仿宋" w:hAnsi="仿宋" w:eastAsia="仿宋" w:cs="仿宋"/>
          <w:color w:val="auto"/>
          <w:kern w:val="2"/>
          <w:sz w:val="24"/>
          <w:szCs w:val="24"/>
          <w:highlight w:val="none"/>
          <w:lang w:val="en-US" w:eastAsia="zh-CN" w:bidi="ar-SA"/>
        </w:rPr>
        <w:t>2.5 退换货</w:t>
      </w:r>
    </w:p>
    <w:p w14:paraId="2BF9AD23">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2.5.1 项目特殊需求定制产品，非品质问题不予退换；生鲜产品，非品质问题不予退换；大宗流通标品，三分之一有效期内，不影响二次销售情况下，有合理原因和需求，可以申请退换服务。 </w:t>
      </w:r>
    </w:p>
    <w:p w14:paraId="59C2E8AF">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2.5.2 因供应商所供商品出现质量问题的，采购人应给予退货，由此产生的相关费用、损失由供应商承担。</w:t>
      </w:r>
    </w:p>
    <w:p w14:paraId="18D317C5">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2.6采购人有权从应付货款中直接扣除</w:t>
      </w:r>
      <w:r>
        <w:rPr>
          <w:rFonts w:hint="eastAsia" w:ascii="仿宋" w:hAnsi="仿宋" w:eastAsia="仿宋" w:cs="仿宋"/>
          <w:lang w:val="en-US" w:eastAsia="zh-CN"/>
        </w:rPr>
        <w:t>：</w:t>
      </w:r>
    </w:p>
    <w:p w14:paraId="44F10972">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（1）</w:t>
      </w:r>
      <w:r>
        <w:rPr>
          <w:rFonts w:hint="eastAsia" w:ascii="仿宋" w:hAnsi="仿宋" w:eastAsia="仿宋" w:cs="仿宋"/>
          <w:color w:val="auto"/>
          <w:highlight w:val="none"/>
          <w:lang w:val="en-US" w:eastAsia="zh-CN"/>
        </w:rPr>
        <w:t>供应商应承担的违约金、赔偿金</w:t>
      </w:r>
      <w:r>
        <w:rPr>
          <w:rFonts w:hint="eastAsia" w:ascii="仿宋" w:hAnsi="仿宋" w:eastAsia="仿宋" w:cs="仿宋"/>
          <w:lang w:val="en-US" w:eastAsia="zh-CN"/>
        </w:rPr>
        <w:t>；</w:t>
      </w:r>
    </w:p>
    <w:p w14:paraId="45F58D64">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（2）</w:t>
      </w:r>
      <w:r>
        <w:rPr>
          <w:rFonts w:hint="eastAsia" w:ascii="仿宋" w:hAnsi="仿宋" w:eastAsia="仿宋" w:cs="仿宋"/>
          <w:color w:val="auto"/>
          <w:highlight w:val="none"/>
          <w:lang w:val="en-US" w:eastAsia="zh-CN"/>
        </w:rPr>
        <w:t>不合格商品退货款</w:t>
      </w:r>
      <w:r>
        <w:rPr>
          <w:rFonts w:hint="eastAsia" w:ascii="仿宋" w:hAnsi="仿宋" w:eastAsia="仿宋" w:cs="仿宋"/>
          <w:lang w:val="en-US" w:eastAsia="zh-CN"/>
        </w:rPr>
        <w:t>；</w:t>
      </w:r>
    </w:p>
    <w:p w14:paraId="1BA586B9">
      <w:pPr>
        <w:bidi w:val="0"/>
        <w:spacing w:after="0" w:afterLines="-2147483648"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lang w:val="en-US" w:eastAsia="zh-CN"/>
        </w:rPr>
        <w:t>（3）</w:t>
      </w:r>
      <w:r>
        <w:rPr>
          <w:rFonts w:hint="eastAsia" w:ascii="仿宋" w:hAnsi="仿宋" w:eastAsia="仿宋" w:cs="仿宋"/>
          <w:color w:val="auto"/>
          <w:highlight w:val="none"/>
          <w:lang w:val="en-US" w:eastAsia="zh-CN"/>
        </w:rPr>
        <w:t>采购人代垫的检测费、罚款等。</w:t>
      </w:r>
    </w:p>
    <w:p w14:paraId="43ED334A">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2.7留样要求</w:t>
      </w:r>
    </w:p>
    <w:p w14:paraId="1032FE6F">
      <w:pPr>
        <w:bidi w:val="0"/>
        <w:spacing w:line="360" w:lineRule="auto"/>
        <w:ind w:firstLine="480" w:firstLineChars="200"/>
        <w:jc w:val="left"/>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供应商须对每次配送的所有食材逐品种留样，每品种≥125g，专用密闭容器盛放，0℃–8℃冷藏保存≥48 小时，上锁专柜、专人管理。留样记录含：食材名称、品牌、规格、批次、留样量、留样时间、留样人、审核人，记录保存≥2 年。高风险食材（肉 / 水产 / 熟食 / 豆制品）必须逐批附检疫 / 溯源 / 农残报告，随货归档。</w:t>
      </w:r>
    </w:p>
    <w:p w14:paraId="7CD0BB66">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3" w:name="_Toc1989"/>
      <w:bookmarkStart w:id="34" w:name="_Toc1730"/>
      <w:r>
        <w:rPr>
          <w:rFonts w:hint="eastAsia" w:ascii="仿宋" w:hAnsi="仿宋" w:eastAsia="仿宋" w:cs="仿宋"/>
          <w:color w:val="auto"/>
          <w:sz w:val="28"/>
          <w:szCs w:val="28"/>
          <w:lang w:val="en-US" w:eastAsia="zh-CN"/>
        </w:rPr>
        <w:t>3.供应商资格要求</w:t>
      </w:r>
      <w:bookmarkEnd w:id="33"/>
      <w:bookmarkEnd w:id="34"/>
      <w:r>
        <w:rPr>
          <w:rFonts w:hint="eastAsia" w:ascii="仿宋" w:hAnsi="仿宋" w:eastAsia="仿宋" w:cs="仿宋"/>
          <w:color w:val="auto"/>
          <w:sz w:val="28"/>
          <w:szCs w:val="28"/>
          <w:lang w:val="en-US" w:eastAsia="zh-CN"/>
        </w:rPr>
        <w:t xml:space="preserve"> </w:t>
      </w:r>
    </w:p>
    <w:p w14:paraId="5A1D76A7">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本项目资格要求</w:t>
      </w:r>
    </w:p>
    <w:p w14:paraId="5E72BDCA">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（1）具有独立承担民事责任的能力，持有有效的营业执照；</w:t>
      </w:r>
    </w:p>
    <w:p w14:paraId="03001A62">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（2）具有良好的商业信誉和健全的财务会计制度；</w:t>
      </w:r>
    </w:p>
    <w:p w14:paraId="23534AB0">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（3）具有履行合同所必需的设备和专业技术能力；</w:t>
      </w:r>
    </w:p>
    <w:p w14:paraId="4025A8C7">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（4）有依法缴纳税收的良好记录；</w:t>
      </w:r>
    </w:p>
    <w:p w14:paraId="734BD476">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（5）参加比选采购活动前三年内，在经营活动中没有重大违法记录。</w:t>
      </w:r>
    </w:p>
    <w:p w14:paraId="761C1F2F">
      <w:pPr>
        <w:spacing w:line="360" w:lineRule="auto"/>
        <w:ind w:firstLine="480" w:firstLineChars="200"/>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（6）业绩要求：供应商近5年内（合同签订时间为2021年5月1日至投标截止时间前）独立承接过猪肉类产品供应项目（或供应内容中包含猪肉类产品的供应项目）至少提供1个。</w:t>
      </w:r>
    </w:p>
    <w:p w14:paraId="1CB83A4C">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其他要求</w:t>
      </w:r>
    </w:p>
    <w:p w14:paraId="596185E2">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单位负责人为同一人或者存在直接控股、管理关系的不同供应商，不得参加同一合同项下的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3C7B7241">
      <w:pPr>
        <w:spacing w:line="360" w:lineRule="auto"/>
        <w:ind w:firstLine="480" w:firstLineChars="200"/>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被“信用中国”网站列入失信被执行人和重大税收违法案件当事人名单的、被“中国政府采购网”网站列入政府采购严重违法失信行为记录名单（处罚期限尚未届满的）供应商，不得参与本项目的</w:t>
      </w:r>
      <w:r>
        <w:rPr>
          <w:rFonts w:hint="eastAsia" w:ascii="仿宋" w:hAnsi="仿宋" w:eastAsia="仿宋" w:cs="仿宋"/>
          <w:color w:val="auto"/>
          <w:highlight w:val="none"/>
          <w:lang w:val="en-US" w:eastAsia="zh-CN"/>
        </w:rPr>
        <w:t>比选</w:t>
      </w:r>
      <w:r>
        <w:rPr>
          <w:rFonts w:hint="eastAsia" w:ascii="仿宋" w:hAnsi="仿宋" w:eastAsia="仿宋" w:cs="仿宋"/>
          <w:color w:val="auto"/>
          <w:highlight w:val="none"/>
        </w:rPr>
        <w:t>活动。</w:t>
      </w:r>
    </w:p>
    <w:p w14:paraId="477A91DE">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（3）供应商的分支机构不得参加本次采购，特殊行业（仅限于银行、保险、石油石化、电力、电信行业）供应商允许其分支机构参加本次采购。</w:t>
      </w:r>
    </w:p>
    <w:p w14:paraId="09E4691E">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5" w:name="_Toc26548"/>
      <w:bookmarkStart w:id="36" w:name="_Toc6514"/>
      <w:r>
        <w:rPr>
          <w:rFonts w:hint="eastAsia" w:ascii="仿宋" w:hAnsi="仿宋" w:eastAsia="仿宋" w:cs="仿宋"/>
          <w:color w:val="auto"/>
          <w:sz w:val="28"/>
          <w:szCs w:val="28"/>
          <w:lang w:val="en-US" w:eastAsia="zh-CN"/>
        </w:rPr>
        <w:t>4.供应商不得存在的情形</w:t>
      </w:r>
      <w:bookmarkEnd w:id="35"/>
      <w:bookmarkEnd w:id="36"/>
    </w:p>
    <w:p w14:paraId="46AC5C6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供应商不得存在下列情形之一： </w:t>
      </w:r>
    </w:p>
    <w:p w14:paraId="49CA240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（1）与采购人存在利害关系且可能影响采购公正性； </w:t>
      </w:r>
    </w:p>
    <w:p w14:paraId="74433F3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（2）与本采购项目的其他供应商为同一个单位负责人； </w:t>
      </w:r>
    </w:p>
    <w:p w14:paraId="0525227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（3）与本采购项目的其他供应商存在控股、管理关系； </w:t>
      </w:r>
    </w:p>
    <w:p w14:paraId="4352073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（4）被依法暂停或者取消投标资格； </w:t>
      </w:r>
    </w:p>
    <w:p w14:paraId="3B1105F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（5）被责令停产停业、暂扣或者吊销许可证、暂扣或者吊销执照； </w:t>
      </w:r>
    </w:p>
    <w:p w14:paraId="11CFA75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（6）进入清算程序，或被宣告破产，或其他丧失履约能力的情形； </w:t>
      </w:r>
    </w:p>
    <w:p w14:paraId="65A6F37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（7）在最近三年内发生重大产品质量问题（以相关行业主管部门的行政处罚决定或司法机关出具的有关法律文书为准）； </w:t>
      </w:r>
    </w:p>
    <w:p w14:paraId="0E8F21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（8）被工商行政管理机关在国家企业信用信息公示系统中列入严重违法失信企业名单； </w:t>
      </w:r>
    </w:p>
    <w:p w14:paraId="42C8B12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（9）被最高人民法院在“信用中国”网站（www.creditchina.gov.cn）或各级信用信息共享平台中列入失信被执行人名单； </w:t>
      </w:r>
    </w:p>
    <w:p w14:paraId="13CBC62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（10）在近三年内供应商或其法定代表人、拟委任的项目负责人有行贿犯罪行为的（以检察机关职务犯罪预防部门出具的查询结果为准）； </w:t>
      </w:r>
    </w:p>
    <w:p w14:paraId="1C3477C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 xml:space="preserve">（11）法律法规规定的其他情形。 </w:t>
      </w:r>
    </w:p>
    <w:bookmarkEnd w:id="30"/>
    <w:p w14:paraId="6F92D750">
      <w:pPr>
        <w:pStyle w:val="3"/>
        <w:numPr>
          <w:ilvl w:val="1"/>
          <w:numId w:val="0"/>
        </w:numPr>
        <w:spacing w:before="0" w:after="0" w:line="560" w:lineRule="exact"/>
        <w:ind w:firstLine="403"/>
        <w:outlineLvl w:val="9"/>
        <w:rPr>
          <w:rFonts w:hint="eastAsia" w:ascii="仿宋" w:hAnsi="仿宋" w:eastAsia="仿宋" w:cs="仿宋"/>
          <w:b/>
          <w:color w:val="auto"/>
          <w:kern w:val="2"/>
          <w:sz w:val="28"/>
          <w:szCs w:val="28"/>
          <w:lang w:val="en-US" w:eastAsia="zh-CN" w:bidi="ar-SA"/>
        </w:rPr>
      </w:pPr>
      <w:bookmarkStart w:id="37" w:name="_Toc17239"/>
      <w:bookmarkStart w:id="38" w:name="_Toc30001"/>
      <w:r>
        <w:rPr>
          <w:rFonts w:hint="eastAsia" w:ascii="仿宋" w:hAnsi="仿宋" w:eastAsia="仿宋" w:cs="仿宋"/>
          <w:b/>
          <w:color w:val="auto"/>
          <w:kern w:val="2"/>
          <w:sz w:val="28"/>
          <w:szCs w:val="28"/>
          <w:lang w:val="en-US" w:eastAsia="zh-CN" w:bidi="ar-SA"/>
        </w:rPr>
        <w:t>5.合同价款</w:t>
      </w:r>
      <w:bookmarkEnd w:id="37"/>
      <w:bookmarkEnd w:id="38"/>
    </w:p>
    <w:p w14:paraId="4F9126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color w:val="auto"/>
          <w:kern w:val="2"/>
          <w:sz w:val="24"/>
          <w:szCs w:val="24"/>
          <w:highlight w:val="none"/>
          <w:lang w:val="en-US" w:bidi="ar-SA"/>
        </w:rPr>
        <w:t>5.1合同价款：</w:t>
      </w:r>
      <w:r>
        <w:rPr>
          <w:rStyle w:val="62"/>
          <w:rFonts w:hint="eastAsia" w:ascii="仿宋" w:hAnsi="仿宋" w:eastAsia="仿宋" w:cs="仿宋"/>
          <w:color w:val="auto"/>
          <w:kern w:val="2"/>
          <w:sz w:val="24"/>
          <w:szCs w:val="24"/>
          <w:highlight w:val="none"/>
          <w:lang w:val="en-US" w:eastAsia="zh-CN" w:bidi="ar-SA"/>
        </w:rPr>
        <w:t>采购金</w:t>
      </w:r>
      <w:r>
        <w:rPr>
          <w:rStyle w:val="62"/>
          <w:rFonts w:hint="eastAsia" w:ascii="仿宋" w:hAnsi="仿宋" w:eastAsia="仿宋" w:cs="仿宋"/>
          <w:color w:val="auto"/>
          <w:kern w:val="2"/>
          <w:sz w:val="24"/>
          <w:szCs w:val="24"/>
          <w:highlight w:val="none"/>
          <w:lang w:val="en-US" w:bidi="ar-SA"/>
        </w:rPr>
        <w:t>额约75万元。每次采购以采购人实际购买发生和本合同价格</w:t>
      </w:r>
      <w:r>
        <w:rPr>
          <w:rStyle w:val="62"/>
          <w:rFonts w:hint="eastAsia" w:ascii="仿宋" w:hAnsi="仿宋" w:eastAsia="仿宋" w:cs="仿宋"/>
          <w:color w:val="auto"/>
          <w:kern w:val="2"/>
          <w:sz w:val="24"/>
          <w:szCs w:val="24"/>
          <w:highlight w:val="none"/>
          <w:lang w:val="en-US" w:eastAsia="zh-CN" w:bidi="ar-SA"/>
        </w:rPr>
        <w:t>约定结</w:t>
      </w:r>
      <w:r>
        <w:rPr>
          <w:rStyle w:val="62"/>
          <w:rFonts w:hint="eastAsia" w:ascii="仿宋" w:hAnsi="仿宋" w:eastAsia="仿宋" w:cs="仿宋"/>
          <w:b w:val="0"/>
          <w:bCs w:val="0"/>
          <w:color w:val="auto"/>
          <w:sz w:val="24"/>
          <w:highlight w:val="none"/>
          <w:lang w:val="en-US" w:eastAsia="zh-CN"/>
        </w:rPr>
        <w:t>算方式确定价款，经双方确认后据实结算。</w:t>
      </w:r>
    </w:p>
    <w:p w14:paraId="29C953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5.2合同价款已包含产品价格、税金、运输、运输保险费、加工费、包装费、搬运费、卸货费用及验收合格前其他所有费用，供应商不得收取其他任何费用。</w:t>
      </w:r>
    </w:p>
    <w:p w14:paraId="02634C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5.3市场价格调整方式：成交供应商供货期内，每月进行一次结算价格调整，调整机制如下：采购人每月不定期做市场价格质量调查，市场调查的渠道包括但不仅限于大型农贸市场、商超、网上生鲜商城等，依据市场调查结果制作价格统计表，依据市场价格调查结果制作价格统计表，并结合成交供应商每月提供的报价清单，制定当月合理市场价格，并在此基础上</w:t>
      </w:r>
      <w:r>
        <w:rPr>
          <w:rStyle w:val="62"/>
          <w:rFonts w:hint="eastAsia" w:ascii="仿宋" w:hAnsi="仿宋" w:eastAsia="仿宋" w:cs="仿宋"/>
          <w:b/>
          <w:bCs/>
          <w:color w:val="auto"/>
          <w:sz w:val="24"/>
          <w:highlight w:val="none"/>
          <w:lang w:val="en-US" w:eastAsia="zh-CN"/>
        </w:rPr>
        <w:t>进行下浮3%以及供应商报价下浮率</w:t>
      </w:r>
      <w:r>
        <w:rPr>
          <w:rStyle w:val="62"/>
          <w:rFonts w:hint="eastAsia" w:ascii="仿宋" w:hAnsi="仿宋" w:eastAsia="仿宋" w:cs="仿宋"/>
          <w:b w:val="0"/>
          <w:bCs w:val="0"/>
          <w:color w:val="auto"/>
          <w:sz w:val="24"/>
          <w:highlight w:val="none"/>
          <w:lang w:val="en-US" w:eastAsia="zh-CN"/>
        </w:rPr>
        <w:t>之后计算当月结算价格。</w:t>
      </w:r>
      <w:r>
        <w:rPr>
          <w:rStyle w:val="62"/>
          <w:rFonts w:hint="eastAsia" w:ascii="仿宋" w:hAnsi="仿宋" w:eastAsia="仿宋" w:cs="仿宋"/>
          <w:b/>
          <w:bCs/>
          <w:color w:val="auto"/>
          <w:sz w:val="24"/>
          <w:highlight w:val="none"/>
          <w:lang w:val="en-US" w:eastAsia="zh-CN"/>
        </w:rPr>
        <w:t>附件3参考价为2025年平均市场参考价、2026年2月市场参考价、2026年3月市场参考价、2026年4月市场参考价，未进行任何下浮，以上市场参考价需固定下浮3%并再次按供应商报价下浮率计算后进行结算，供应商须参照自身同一时期供应成本基准价格，合理测算后填报下浮率。</w:t>
      </w:r>
    </w:p>
    <w:p w14:paraId="3A79A76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Style w:val="62"/>
          <w:rFonts w:hint="eastAsia" w:ascii="仿宋" w:hAnsi="仿宋" w:eastAsia="仿宋" w:cs="仿宋"/>
          <w:b/>
          <w:bCs/>
          <w:color w:val="auto"/>
          <w:sz w:val="24"/>
          <w:highlight w:val="none"/>
          <w:lang w:val="en-US" w:eastAsia="zh-CN"/>
        </w:rPr>
      </w:pPr>
      <w:r>
        <w:rPr>
          <w:rStyle w:val="62"/>
          <w:rFonts w:hint="eastAsia" w:ascii="仿宋" w:hAnsi="仿宋" w:eastAsia="仿宋" w:cs="仿宋"/>
          <w:b/>
          <w:bCs/>
          <w:color w:val="auto"/>
          <w:sz w:val="24"/>
          <w:highlight w:val="none"/>
          <w:lang w:val="en-US" w:eastAsia="zh-CN"/>
        </w:rPr>
        <w:t>例：序号1五花肉（精品）2026年3月合理市场参考单价为9.75元/kg，供应商报价下浮率为2%，则2026年3月结算价格为9.75×（1-3%)×（1-2%)=9.268元/kg，2026-2027年度供应期间每月合理市场价以采购人市场调查结果进行调整，固定下浮率3%以及供应商报价下浮率不再调整。</w:t>
      </w:r>
    </w:p>
    <w:p w14:paraId="00CDE108">
      <w:pPr>
        <w:pStyle w:val="63"/>
        <w:keepNext w:val="0"/>
        <w:keepLines w:val="0"/>
        <w:pageBreakBefore w:val="0"/>
        <w:shd w:val="clear" w:color="auto" w:fill="FFFFFF"/>
        <w:kinsoku/>
        <w:wordWrap/>
        <w:overflowPunct/>
        <w:topLinePunct w:val="0"/>
        <w:autoSpaceDE/>
        <w:autoSpaceDN/>
        <w:bidi w:val="0"/>
        <w:adjustRightInd/>
        <w:snapToGrid/>
        <w:spacing w:line="360" w:lineRule="auto"/>
        <w:jc w:val="left"/>
        <w:textAlignment w:val="auto"/>
        <w:rPr>
          <w:rStyle w:val="62"/>
          <w:rFonts w:hint="default" w:ascii="仿宋" w:hAnsi="仿宋" w:eastAsia="仿宋" w:cs="仿宋"/>
          <w:b w:val="0"/>
          <w:bCs w:val="0"/>
          <w:color w:val="auto"/>
          <w:sz w:val="24"/>
          <w:highlight w:val="none"/>
          <w:lang w:val="en-US" w:eastAsia="zh-CN"/>
        </w:rPr>
      </w:pPr>
      <w:r>
        <w:rPr>
          <w:rStyle w:val="62"/>
          <w:rFonts w:hint="eastAsia" w:ascii="仿宋" w:hAnsi="仿宋" w:eastAsia="仿宋" w:cs="仿宋"/>
          <w:color w:val="auto"/>
          <w:sz w:val="24"/>
          <w:highlight w:val="none"/>
          <w:lang w:val="en-US" w:eastAsia="zh-CN"/>
        </w:rPr>
        <w:t xml:space="preserve">5.4 </w:t>
      </w:r>
      <w:r>
        <w:rPr>
          <w:rStyle w:val="62"/>
          <w:rFonts w:hint="eastAsia" w:ascii="仿宋" w:hAnsi="仿宋" w:eastAsia="仿宋" w:cs="仿宋"/>
          <w:b w:val="0"/>
          <w:bCs w:val="0"/>
          <w:color w:val="auto"/>
          <w:sz w:val="24"/>
          <w:highlight w:val="none"/>
          <w:lang w:val="en-US" w:eastAsia="zh-CN"/>
        </w:rPr>
        <w:t>附件3参考价中所有产品细目的数量仅为年度预估数量，具体用量根据实际经营情况决定，</w:t>
      </w:r>
      <w:r>
        <w:rPr>
          <w:rStyle w:val="62"/>
          <w:rFonts w:hint="eastAsia" w:ascii="仿宋" w:hAnsi="仿宋" w:eastAsia="仿宋" w:cs="仿宋"/>
          <w:b/>
          <w:bCs/>
          <w:color w:val="auto"/>
          <w:sz w:val="24"/>
          <w:highlight w:val="none"/>
          <w:lang w:val="en-US" w:eastAsia="zh-CN"/>
        </w:rPr>
        <w:t>属于同大类产品、附件3参考价外的猪肉类产品，也需按5.3所述规则进行市场询价及下浮定价保障供应</w:t>
      </w:r>
      <w:r>
        <w:rPr>
          <w:rStyle w:val="62"/>
          <w:rFonts w:hint="eastAsia" w:ascii="仿宋" w:hAnsi="仿宋" w:eastAsia="仿宋" w:cs="仿宋"/>
          <w:b w:val="0"/>
          <w:bCs w:val="0"/>
          <w:color w:val="auto"/>
          <w:sz w:val="24"/>
          <w:highlight w:val="none"/>
          <w:lang w:val="en-US" w:eastAsia="zh-CN"/>
        </w:rPr>
        <w:t>，请各参与响应供应商严谨报价。</w:t>
      </w:r>
    </w:p>
    <w:p w14:paraId="4072BC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5.5 入围框架协议的</w:t>
      </w:r>
      <w:r>
        <w:rPr>
          <w:rFonts w:hint="eastAsia" w:ascii="仿宋" w:hAnsi="仿宋" w:eastAsia="仿宋" w:cs="仿宋"/>
          <w:b/>
          <w:bCs/>
          <w:color w:val="auto"/>
          <w:kern w:val="2"/>
          <w:sz w:val="24"/>
          <w:szCs w:val="24"/>
          <w:highlight w:val="none"/>
          <w:lang w:val="en-US" w:eastAsia="zh-CN" w:bidi="ar-SA"/>
        </w:rPr>
        <w:t>供应商按报价下浮率签订框架协议。</w:t>
      </w:r>
      <w:r>
        <w:rPr>
          <w:rStyle w:val="62"/>
          <w:rFonts w:hint="eastAsia" w:ascii="仿宋" w:hAnsi="仿宋" w:eastAsia="仿宋" w:cs="仿宋"/>
          <w:b w:val="0"/>
          <w:bCs w:val="0"/>
          <w:color w:val="auto"/>
          <w:sz w:val="24"/>
          <w:highlight w:val="none"/>
          <w:lang w:val="en-US" w:eastAsia="zh-CN"/>
        </w:rPr>
        <w:t>采购人从入围供应商按照报价下浮率由高到低的排名顺序选定供应商签订正式采购合同，排名靠前供应商享有优先签订正式采购合同权。</w:t>
      </w:r>
    </w:p>
    <w:p w14:paraId="17C2CC6C">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 xml:space="preserve">5.6 </w:t>
      </w:r>
      <w:r>
        <w:rPr>
          <w:rFonts w:hint="eastAsia" w:ascii="仿宋" w:hAnsi="仿宋" w:eastAsia="仿宋" w:cs="仿宋"/>
          <w:color w:val="auto"/>
          <w:highlight w:val="none"/>
          <w:lang w:val="en-US" w:eastAsia="zh-CN"/>
        </w:rPr>
        <w:t>本次采购为赣州景区建设运营有限公司经营性采购，为避免因进项税额不足以抵扣销项税额而可能产生的亏损，如中标人系小规模纳税人，招标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r>
        <w:rPr>
          <w:rStyle w:val="62"/>
          <w:rFonts w:hint="eastAsia" w:ascii="仿宋" w:hAnsi="仿宋" w:eastAsia="仿宋" w:cs="仿宋"/>
          <w:b w:val="0"/>
          <w:bCs w:val="0"/>
          <w:color w:val="auto"/>
          <w:sz w:val="24"/>
          <w:highlight w:val="none"/>
          <w:lang w:val="en-US" w:eastAsia="zh-CN"/>
        </w:rPr>
        <w:t>。</w:t>
      </w:r>
    </w:p>
    <w:p w14:paraId="5F038E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举例1</w:t>
      </w:r>
    </w:p>
    <w:p w14:paraId="61A1E1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中标单位为增值税小规模纳税人，税率1%，供货商品对应的增值税一般纳税人税率13%，不含税中标价100元，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4C59E4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结算付款扣除</w:t>
      </w:r>
      <w:r>
        <w:rPr>
          <w:rStyle w:val="62"/>
          <w:rFonts w:hint="default" w:ascii="仿宋" w:hAnsi="仿宋" w:eastAsia="仿宋" w:cs="仿宋"/>
          <w:b w:val="0"/>
          <w:bCs w:val="0"/>
          <w:color w:val="auto"/>
          <w:sz w:val="24"/>
          <w:highlight w:val="none"/>
          <w:lang w:val="en-US" w:eastAsia="zh-CN"/>
        </w:rPr>
        <w:t>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（13%-1%）</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（1+12%）=13.44元</w:t>
      </w:r>
    </w:p>
    <w:p w14:paraId="156A3D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举例2</w:t>
      </w:r>
    </w:p>
    <w:p w14:paraId="2065CB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中标单位为增值税小规模纳税人，税率1%，供货商品对应的增值税一般纳税人税率9%，不含税中标价100元，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78705A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（9%-1%）</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（1+12%）=8.96元</w:t>
      </w:r>
    </w:p>
    <w:p w14:paraId="1CF173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举例3</w:t>
      </w:r>
    </w:p>
    <w:p w14:paraId="0E0C38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中标单位为增值税小规模纳税人，税率3%，供货商品对应的增值税一般纳税人适用税率9%，不含税中标价100元，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293400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（9%-3%）</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（1+12%）=6.72元</w:t>
      </w:r>
    </w:p>
    <w:p w14:paraId="4414B6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举例4</w:t>
      </w:r>
    </w:p>
    <w:p w14:paraId="5528BA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中标单位为增值税小规模纳税人，税率3%，供货商品对应的增值税一般纳税人适用税率13%，不含税中标价100元，</w:t>
      </w:r>
      <w:r>
        <w:rPr>
          <w:rStyle w:val="62"/>
          <w:rFonts w:hint="eastAsia" w:ascii="仿宋" w:hAnsi="仿宋" w:eastAsia="仿宋" w:cs="仿宋"/>
          <w:b w:val="0"/>
          <w:bCs w:val="0"/>
          <w:color w:val="auto"/>
          <w:sz w:val="24"/>
          <w:highlight w:val="none"/>
          <w:lang w:val="en-US" w:eastAsia="zh-CN"/>
        </w:rPr>
        <w:t>采购人</w:t>
      </w:r>
      <w:r>
        <w:rPr>
          <w:rStyle w:val="62"/>
          <w:rFonts w:hint="default" w:ascii="仿宋" w:hAnsi="仿宋" w:eastAsia="仿宋" w:cs="仿宋"/>
          <w:b w:val="0"/>
          <w:bCs w:val="0"/>
          <w:color w:val="auto"/>
          <w:sz w:val="24"/>
          <w:highlight w:val="none"/>
          <w:lang w:val="en-US" w:eastAsia="zh-CN"/>
        </w:rPr>
        <w:t>增值税附加税率12%</w:t>
      </w:r>
    </w:p>
    <w:p w14:paraId="5BF5A7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Style w:val="62"/>
          <w:rFonts w:hint="default" w:ascii="仿宋" w:hAnsi="仿宋" w:eastAsia="仿宋" w:cs="仿宋"/>
          <w:b w:val="0"/>
          <w:bCs w:val="0"/>
          <w:color w:val="auto"/>
          <w:sz w:val="24"/>
          <w:highlight w:val="none"/>
          <w:lang w:val="en-US" w:eastAsia="zh-CN"/>
        </w:rPr>
      </w:pPr>
      <w:r>
        <w:rPr>
          <w:rStyle w:val="62"/>
          <w:rFonts w:hint="default" w:ascii="仿宋" w:hAnsi="仿宋" w:eastAsia="仿宋" w:cs="仿宋"/>
          <w:b w:val="0"/>
          <w:bCs w:val="0"/>
          <w:color w:val="auto"/>
          <w:sz w:val="24"/>
          <w:highlight w:val="none"/>
          <w:lang w:val="en-US" w:eastAsia="zh-CN"/>
        </w:rPr>
        <w:t>结算付款扣除金额=100</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（13%-3%）</w:t>
      </w:r>
      <w:r>
        <w:rPr>
          <w:rStyle w:val="62"/>
          <w:rFonts w:hint="eastAsia" w:ascii="仿宋" w:hAnsi="仿宋" w:eastAsia="仿宋" w:cs="仿宋"/>
          <w:b w:val="0"/>
          <w:bCs w:val="0"/>
          <w:color w:val="auto"/>
          <w:sz w:val="24"/>
          <w:highlight w:val="none"/>
          <w:lang w:val="en-US" w:eastAsia="zh-CN"/>
        </w:rPr>
        <w:t>×</w:t>
      </w:r>
      <w:r>
        <w:rPr>
          <w:rStyle w:val="62"/>
          <w:rFonts w:hint="default" w:ascii="仿宋" w:hAnsi="仿宋" w:eastAsia="仿宋" w:cs="仿宋"/>
          <w:b w:val="0"/>
          <w:bCs w:val="0"/>
          <w:color w:val="auto"/>
          <w:sz w:val="24"/>
          <w:highlight w:val="none"/>
          <w:lang w:val="en-US" w:eastAsia="zh-CN"/>
        </w:rPr>
        <w:t>（1+12%）=11.2元</w:t>
      </w:r>
    </w:p>
    <w:p w14:paraId="662177D5">
      <w:pPr>
        <w:pStyle w:val="3"/>
        <w:numPr>
          <w:ilvl w:val="1"/>
          <w:numId w:val="0"/>
        </w:numPr>
        <w:spacing w:before="0" w:after="0" w:line="560" w:lineRule="exact"/>
        <w:ind w:firstLine="403"/>
        <w:outlineLvl w:val="9"/>
        <w:rPr>
          <w:rFonts w:hint="eastAsia" w:ascii="仿宋" w:hAnsi="仿宋" w:eastAsia="仿宋" w:cs="仿宋"/>
          <w:color w:val="auto"/>
          <w:sz w:val="28"/>
          <w:szCs w:val="28"/>
          <w:lang w:val="en-US" w:eastAsia="zh-CN"/>
        </w:rPr>
      </w:pPr>
      <w:bookmarkStart w:id="39" w:name="_Toc25275"/>
      <w:bookmarkStart w:id="40" w:name="_Toc17864"/>
      <w:r>
        <w:rPr>
          <w:rFonts w:hint="eastAsia" w:ascii="仿宋" w:hAnsi="仿宋" w:eastAsia="仿宋" w:cs="仿宋"/>
          <w:color w:val="auto"/>
          <w:sz w:val="28"/>
          <w:szCs w:val="28"/>
          <w:lang w:val="en-US" w:eastAsia="zh-CN"/>
        </w:rPr>
        <w:t>6.其他需说明的事项</w:t>
      </w:r>
      <w:bookmarkEnd w:id="39"/>
      <w:bookmarkEnd w:id="40"/>
    </w:p>
    <w:p w14:paraId="52FC97F0">
      <w:pPr>
        <w:pStyle w:val="63"/>
        <w:shd w:val="clear" w:color="auto" w:fill="FFFFFF"/>
        <w:snapToGrid/>
        <w:spacing w:line="360" w:lineRule="auto"/>
        <w:ind w:firstLine="480" w:firstLineChars="200"/>
        <w:jc w:val="left"/>
        <w:rPr>
          <w:rStyle w:val="62"/>
          <w:rFonts w:ascii="仿宋" w:hAnsi="仿宋" w:eastAsia="仿宋" w:cs="仿宋"/>
          <w:color w:val="auto"/>
          <w:sz w:val="24"/>
          <w:highlight w:val="none"/>
        </w:rPr>
      </w:pPr>
      <w:r>
        <w:rPr>
          <w:rStyle w:val="62"/>
          <w:rFonts w:hint="eastAsia" w:ascii="仿宋" w:hAnsi="仿宋" w:eastAsia="仿宋" w:cs="仿宋"/>
          <w:b w:val="0"/>
          <w:bCs w:val="0"/>
          <w:color w:val="auto"/>
          <w:sz w:val="24"/>
          <w:highlight w:val="none"/>
          <w:lang w:val="en-US" w:eastAsia="zh-CN"/>
        </w:rPr>
        <w:t>6.1供应商必须将响应文件装订成册，响应</w:t>
      </w:r>
      <w:r>
        <w:rPr>
          <w:rStyle w:val="62"/>
          <w:rFonts w:ascii="仿宋" w:hAnsi="仿宋" w:eastAsia="仿宋" w:cs="仿宋"/>
          <w:b w:val="0"/>
          <w:bCs w:val="0"/>
          <w:color w:val="auto"/>
          <w:sz w:val="24"/>
          <w:highlight w:val="none"/>
          <w:lang w:val="en-US"/>
        </w:rPr>
        <w:t>文件正本一份，副本一份。正本和副本的封面右上角应清楚地标记“正本”或“副本”的字样。</w:t>
      </w:r>
      <w:r>
        <w:rPr>
          <w:rStyle w:val="62"/>
          <w:rFonts w:hint="eastAsia" w:ascii="仿宋" w:hAnsi="仿宋" w:eastAsia="仿宋" w:cs="仿宋"/>
          <w:b w:val="0"/>
          <w:bCs w:val="0"/>
          <w:color w:val="auto"/>
          <w:sz w:val="24"/>
          <w:highlight w:val="none"/>
          <w:lang w:val="en-US" w:eastAsia="zh-CN"/>
        </w:rPr>
        <w:t>并且用文件袋进行密封，在封口处加盖公章。</w:t>
      </w:r>
    </w:p>
    <w:p w14:paraId="6CC68009">
      <w:pPr>
        <w:pStyle w:val="63"/>
        <w:shd w:val="clear" w:color="auto" w:fill="FFFFFF"/>
        <w:spacing w:line="360" w:lineRule="auto"/>
        <w:ind w:firstLine="480" w:firstLineChars="200"/>
        <w:jc w:val="left"/>
        <w:rPr>
          <w:rStyle w:val="62"/>
          <w:rFonts w:hint="eastAsia" w:ascii="仿宋" w:hAnsi="仿宋" w:eastAsia="仿宋" w:cs="仿宋"/>
          <w:b w:val="0"/>
          <w:bCs w:val="0"/>
          <w:color w:val="auto"/>
          <w:sz w:val="24"/>
          <w:highlight w:val="none"/>
          <w:lang w:val="en-US" w:eastAsia="zh-CN"/>
        </w:rPr>
      </w:pPr>
      <w:r>
        <w:rPr>
          <w:rStyle w:val="62"/>
          <w:rFonts w:hint="eastAsia" w:ascii="仿宋" w:hAnsi="仿宋" w:eastAsia="仿宋" w:cs="仿宋"/>
          <w:b w:val="0"/>
          <w:bCs w:val="0"/>
          <w:color w:val="auto"/>
          <w:sz w:val="24"/>
          <w:highlight w:val="none"/>
          <w:lang w:val="en-US" w:eastAsia="zh-CN"/>
        </w:rPr>
        <w:t>6.2响应供应商恶意低价报价导致未能诚信履约的，采购人将取消其供应资格，并没收其已缴纳的保证金。</w:t>
      </w:r>
    </w:p>
    <w:p w14:paraId="53676B69">
      <w:pP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br w:type="page"/>
      </w:r>
    </w:p>
    <w:p w14:paraId="7D5CF864">
      <w:pPr>
        <w:pStyle w:val="2"/>
        <w:numPr>
          <w:ilvl w:val="0"/>
          <w:numId w:val="0"/>
        </w:numPr>
        <w:spacing w:before="200" w:after="200" w:line="560" w:lineRule="exact"/>
        <w:jc w:val="center"/>
        <w:rPr>
          <w:rFonts w:hint="eastAsia" w:ascii="仿宋" w:hAnsi="仿宋" w:eastAsia="仿宋" w:cs="仿宋"/>
          <w:color w:val="auto"/>
          <w:highlight w:val="none"/>
          <w:lang w:val="en-US" w:eastAsia="zh-CN"/>
        </w:rPr>
      </w:pPr>
      <w:bookmarkStart w:id="41" w:name="_Toc9739"/>
      <w:bookmarkStart w:id="42" w:name="_Toc9346"/>
      <w:r>
        <w:rPr>
          <w:rFonts w:hint="eastAsia" w:ascii="仿宋" w:hAnsi="仿宋" w:eastAsia="仿宋" w:cs="仿宋"/>
          <w:color w:val="auto"/>
          <w:highlight w:val="none"/>
          <w:lang w:val="en-US" w:eastAsia="zh-CN"/>
        </w:rPr>
        <w:t>第三章 评审办法</w:t>
      </w:r>
      <w:bookmarkEnd w:id="41"/>
      <w:bookmarkEnd w:id="42"/>
    </w:p>
    <w:p w14:paraId="72116D44">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43" w:name="_Toc22978"/>
      <w:bookmarkStart w:id="44" w:name="_Toc6044"/>
      <w:bookmarkStart w:id="45" w:name="_Toc2669"/>
      <w:bookmarkStart w:id="46" w:name="bookmark272"/>
      <w:bookmarkStart w:id="47" w:name="_Toc15079_WPSOffice_Level3"/>
      <w:bookmarkStart w:id="48" w:name="bookmark271"/>
      <w:bookmarkStart w:id="49" w:name="_Toc15065"/>
      <w:bookmarkStart w:id="50" w:name="_Toc24086"/>
      <w:bookmarkStart w:id="51" w:name="_Toc1201"/>
      <w:bookmarkStart w:id="52" w:name="bookmark270"/>
      <w:bookmarkStart w:id="53" w:name="_Toc17908"/>
      <w:bookmarkStart w:id="54" w:name="_Toc1993"/>
      <w:r>
        <w:rPr>
          <w:rFonts w:hint="eastAsia" w:ascii="仿宋" w:hAnsi="仿宋" w:eastAsia="仿宋" w:cs="仿宋"/>
          <w:color w:val="auto"/>
          <w:sz w:val="28"/>
          <w:szCs w:val="28"/>
        </w:rPr>
        <w:t>1.评</w:t>
      </w:r>
      <w:r>
        <w:rPr>
          <w:rFonts w:hint="eastAsia" w:ascii="仿宋" w:hAnsi="仿宋" w:eastAsia="仿宋" w:cs="仿宋"/>
          <w:color w:val="auto"/>
          <w:sz w:val="28"/>
          <w:szCs w:val="28"/>
          <w:lang w:val="en-US" w:eastAsia="zh-CN"/>
        </w:rPr>
        <w:t>审</w:t>
      </w:r>
      <w:r>
        <w:rPr>
          <w:rFonts w:hint="eastAsia" w:ascii="仿宋" w:hAnsi="仿宋" w:eastAsia="仿宋" w:cs="仿宋"/>
          <w:color w:val="auto"/>
          <w:sz w:val="28"/>
          <w:szCs w:val="28"/>
        </w:rPr>
        <w:t>办法</w:t>
      </w:r>
      <w:bookmarkEnd w:id="43"/>
      <w:bookmarkEnd w:id="44"/>
    </w:p>
    <w:p w14:paraId="3ED7A4BE">
      <w:pPr>
        <w:pStyle w:val="65"/>
        <w:tabs>
          <w:tab w:val="left" w:pos="1021"/>
        </w:tabs>
        <w:spacing w:line="360" w:lineRule="auto"/>
        <w:ind w:firstLine="480" w:firstLineChars="200"/>
        <w:rPr>
          <w:rFonts w:hint="eastAsia" w:ascii="仿宋" w:hAnsi="仿宋" w:eastAsia="仿宋" w:cs="仿宋"/>
          <w:color w:val="auto"/>
          <w:kern w:val="2"/>
          <w:sz w:val="24"/>
          <w:szCs w:val="24"/>
          <w:highlight w:val="none"/>
          <w:lang w:val="en-US" w:eastAsia="zh-CN" w:bidi="ar-SA"/>
        </w:rPr>
      </w:pPr>
      <w:bookmarkStart w:id="55" w:name="bookmark261"/>
      <w:r>
        <w:rPr>
          <w:rFonts w:hint="eastAsia" w:ascii="仿宋" w:hAnsi="仿宋" w:eastAsia="仿宋" w:cs="仿宋"/>
          <w:color w:val="auto"/>
          <w:sz w:val="24"/>
          <w:highlight w:val="none"/>
          <w:lang w:val="en-US"/>
        </w:rPr>
        <w:t>本次</w:t>
      </w:r>
      <w:r>
        <w:rPr>
          <w:rFonts w:hint="eastAsia" w:ascii="仿宋" w:hAnsi="仿宋" w:eastAsia="仿宋" w:cs="仿宋"/>
          <w:color w:val="auto"/>
          <w:sz w:val="24"/>
          <w:highlight w:val="none"/>
          <w:lang w:val="en-US" w:eastAsia="zh-CN"/>
        </w:rPr>
        <w:t>框架协议供应商入围征集评审</w:t>
      </w:r>
      <w:r>
        <w:rPr>
          <w:rFonts w:hint="eastAsia" w:ascii="仿宋" w:hAnsi="仿宋" w:eastAsia="仿宋" w:cs="仿宋"/>
          <w:color w:val="auto"/>
          <w:sz w:val="24"/>
          <w:highlight w:val="none"/>
          <w:lang w:val="en-US"/>
        </w:rPr>
        <w:t>采用</w:t>
      </w:r>
      <w:r>
        <w:rPr>
          <w:rFonts w:hint="eastAsia" w:ascii="仿宋" w:hAnsi="仿宋" w:eastAsia="仿宋" w:cs="仿宋"/>
          <w:color w:val="auto"/>
          <w:sz w:val="24"/>
          <w:highlight w:val="none"/>
          <w:lang w:val="en-US" w:eastAsia="zh-CN"/>
        </w:rPr>
        <w:t>低价评审</w:t>
      </w:r>
      <w:r>
        <w:rPr>
          <w:rFonts w:hint="eastAsia" w:ascii="仿宋" w:hAnsi="仿宋" w:eastAsia="仿宋" w:cs="仿宋"/>
          <w:color w:val="auto"/>
          <w:sz w:val="24"/>
          <w:highlight w:val="none"/>
          <w:lang w:val="en-US"/>
        </w:rPr>
        <w:t>法。确定</w:t>
      </w:r>
      <w:r>
        <w:rPr>
          <w:rFonts w:hint="eastAsia" w:ascii="仿宋" w:hAnsi="仿宋" w:eastAsia="仿宋" w:cs="仿宋"/>
          <w:color w:val="auto"/>
          <w:sz w:val="24"/>
          <w:highlight w:val="none"/>
          <w:lang w:val="en-US" w:eastAsia="zh-CN"/>
        </w:rPr>
        <w:t>初步评审</w:t>
      </w:r>
      <w:r>
        <w:rPr>
          <w:rFonts w:hint="eastAsia" w:ascii="仿宋" w:hAnsi="仿宋" w:eastAsia="仿宋" w:cs="仿宋"/>
          <w:color w:val="auto"/>
          <w:sz w:val="24"/>
          <w:highlight w:val="none"/>
          <w:lang w:val="en-US"/>
        </w:rPr>
        <w:t>入围</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lang w:val="en-US"/>
        </w:rPr>
        <w:t>时，提交响应文件和符合资格条件、实质性要求的</w:t>
      </w:r>
      <w:r>
        <w:rPr>
          <w:rFonts w:hint="eastAsia" w:ascii="仿宋" w:hAnsi="仿宋" w:eastAsia="仿宋" w:cs="仿宋"/>
          <w:color w:val="auto"/>
          <w:sz w:val="24"/>
          <w:highlight w:val="none"/>
          <w:lang w:val="en-US" w:eastAsia="zh-CN"/>
        </w:rPr>
        <w:t>响应单位</w:t>
      </w:r>
      <w:r>
        <w:rPr>
          <w:rFonts w:hint="eastAsia" w:ascii="仿宋" w:hAnsi="仿宋" w:eastAsia="仿宋" w:cs="仿宋"/>
          <w:color w:val="auto"/>
          <w:sz w:val="24"/>
          <w:highlight w:val="none"/>
          <w:lang w:val="en-US"/>
        </w:rPr>
        <w:t>应当均不少于2家。</w:t>
      </w:r>
      <w:r>
        <w:rPr>
          <w:rFonts w:hint="eastAsia" w:ascii="仿宋" w:hAnsi="仿宋" w:eastAsia="仿宋" w:cs="仿宋"/>
          <w:color w:val="auto"/>
          <w:sz w:val="24"/>
          <w:highlight w:val="none"/>
          <w:lang w:val="en-US" w:eastAsia="zh-CN"/>
        </w:rPr>
        <w:t>评审</w:t>
      </w:r>
      <w:r>
        <w:rPr>
          <w:rFonts w:hint="eastAsia" w:ascii="仿宋" w:hAnsi="仿宋" w:eastAsia="仿宋" w:cs="仿宋"/>
          <w:color w:val="auto"/>
          <w:sz w:val="24"/>
          <w:highlight w:val="none"/>
          <w:lang w:val="en-US"/>
        </w:rPr>
        <w:t>委员对</w:t>
      </w:r>
      <w:r>
        <w:rPr>
          <w:rFonts w:hint="eastAsia" w:ascii="仿宋" w:hAnsi="仿宋" w:eastAsia="仿宋" w:cs="仿宋"/>
          <w:color w:val="auto"/>
          <w:sz w:val="24"/>
          <w:highlight w:val="none"/>
          <w:lang w:val="en-US" w:eastAsia="zh-CN"/>
        </w:rPr>
        <w:t>已通过资格审查的响应单位进行价格评审</w:t>
      </w:r>
      <w:r>
        <w:rPr>
          <w:rFonts w:hint="eastAsia" w:ascii="仿宋" w:hAnsi="仿宋" w:eastAsia="仿宋" w:cs="仿宋"/>
          <w:color w:val="auto"/>
          <w:sz w:val="24"/>
          <w:highlight w:val="none"/>
          <w:lang w:val="en-US"/>
        </w:rPr>
        <w:t>，并按</w:t>
      </w:r>
      <w:r>
        <w:rPr>
          <w:rFonts w:hint="eastAsia" w:ascii="仿宋" w:hAnsi="仿宋" w:eastAsia="仿宋" w:cs="仿宋"/>
          <w:color w:val="auto"/>
          <w:sz w:val="24"/>
          <w:highlight w:val="none"/>
          <w:lang w:val="en-US" w:eastAsia="zh-CN"/>
        </w:rPr>
        <w:t>经过评审后的有效报价下浮率由高到低进行排序</w:t>
      </w:r>
      <w:r>
        <w:rPr>
          <w:rFonts w:hint="eastAsia" w:ascii="仿宋" w:hAnsi="仿宋" w:eastAsia="仿宋" w:cs="仿宋"/>
          <w:color w:val="auto"/>
          <w:sz w:val="24"/>
          <w:highlight w:val="none"/>
          <w:lang w:val="en-US"/>
        </w:rPr>
        <w:t>，淘汰比例为20%，且至少淘汰一家</w:t>
      </w:r>
      <w:r>
        <w:rPr>
          <w:rFonts w:hint="eastAsia" w:ascii="仿宋" w:hAnsi="仿宋" w:eastAsia="仿宋" w:cs="仿宋"/>
          <w:color w:val="auto"/>
          <w:sz w:val="24"/>
          <w:highlight w:val="none"/>
          <w:lang w:val="en-US" w:eastAsia="zh-CN"/>
        </w:rPr>
        <w:t>响应单位，剩余响应单位作为入围供应商，与采购人签订框架协议</w:t>
      </w:r>
      <w:r>
        <w:rPr>
          <w:rFonts w:hint="eastAsia" w:ascii="仿宋" w:hAnsi="仿宋" w:eastAsia="仿宋" w:cs="仿宋"/>
          <w:color w:val="auto"/>
          <w:sz w:val="24"/>
          <w:highlight w:val="none"/>
          <w:lang w:val="en-US"/>
        </w:rPr>
        <w:t>。采购人从入围</w:t>
      </w:r>
      <w:r>
        <w:rPr>
          <w:rFonts w:hint="eastAsia" w:ascii="仿宋" w:hAnsi="仿宋" w:eastAsia="仿宋" w:cs="仿宋"/>
          <w:color w:val="auto"/>
          <w:sz w:val="24"/>
          <w:highlight w:val="none"/>
          <w:lang w:val="en-US" w:eastAsia="zh-CN"/>
        </w:rPr>
        <w:t>供应商中</w:t>
      </w:r>
      <w:r>
        <w:rPr>
          <w:rFonts w:hint="eastAsia" w:ascii="仿宋" w:hAnsi="仿宋" w:eastAsia="仿宋" w:cs="仿宋"/>
          <w:color w:val="auto"/>
          <w:sz w:val="24"/>
          <w:highlight w:val="none"/>
          <w:lang w:val="en-US"/>
        </w:rPr>
        <w:t>按照报价下浮率由高到低的排名顺序选定</w:t>
      </w:r>
      <w:r>
        <w:rPr>
          <w:rFonts w:hint="eastAsia" w:ascii="仿宋" w:hAnsi="仿宋" w:eastAsia="仿宋" w:cs="仿宋"/>
          <w:color w:val="auto"/>
          <w:sz w:val="24"/>
          <w:highlight w:val="none"/>
          <w:lang w:val="en-US" w:eastAsia="zh-CN"/>
        </w:rPr>
        <w:t>一名供应商</w:t>
      </w:r>
      <w:r>
        <w:rPr>
          <w:rFonts w:hint="eastAsia" w:ascii="仿宋" w:hAnsi="仿宋" w:eastAsia="仿宋" w:cs="仿宋"/>
          <w:color w:val="auto"/>
          <w:sz w:val="24"/>
          <w:highlight w:val="none"/>
          <w:lang w:val="en-US"/>
        </w:rPr>
        <w:t>签订正式采购合同，排名靠前</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lang w:val="en-US"/>
        </w:rPr>
        <w:t>享有优先签订正式采购合同权。</w:t>
      </w:r>
    </w:p>
    <w:bookmarkEnd w:id="55"/>
    <w:p w14:paraId="0BA14E61">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56" w:name="_Toc30068"/>
      <w:bookmarkStart w:id="57" w:name="_Toc12940"/>
      <w:bookmarkStart w:id="58" w:name="_Toc31478"/>
      <w:bookmarkStart w:id="59" w:name="bookmark263"/>
      <w:bookmarkStart w:id="60" w:name="_Toc22747"/>
      <w:bookmarkStart w:id="61" w:name="_Toc16808"/>
      <w:bookmarkStart w:id="62" w:name="_Toc8454"/>
      <w:bookmarkStart w:id="63" w:name="_Toc4220_WPSOffice_Level3"/>
      <w:bookmarkStart w:id="64" w:name="bookmark262"/>
      <w:bookmarkStart w:id="65" w:name="_Toc24697"/>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初步评审</w:t>
      </w:r>
      <w:bookmarkEnd w:id="56"/>
      <w:bookmarkEnd w:id="57"/>
      <w:bookmarkEnd w:id="58"/>
      <w:bookmarkEnd w:id="59"/>
      <w:bookmarkEnd w:id="60"/>
      <w:bookmarkEnd w:id="61"/>
      <w:bookmarkEnd w:id="62"/>
      <w:bookmarkEnd w:id="63"/>
      <w:bookmarkEnd w:id="64"/>
      <w:bookmarkEnd w:id="65"/>
    </w:p>
    <w:p w14:paraId="5C7146C9">
      <w:pPr>
        <w:pStyle w:val="65"/>
        <w:tabs>
          <w:tab w:val="left" w:pos="1021"/>
        </w:tabs>
        <w:spacing w:line="360" w:lineRule="auto"/>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rPr>
        <w:t>形式</w:t>
      </w:r>
      <w:r>
        <w:rPr>
          <w:rFonts w:hint="eastAsia" w:ascii="仿宋" w:hAnsi="仿宋" w:eastAsia="仿宋" w:cs="仿宋"/>
          <w:color w:val="auto"/>
          <w:sz w:val="24"/>
          <w:highlight w:val="none"/>
          <w:lang w:val="en-US" w:eastAsia="zh-CN"/>
        </w:rPr>
        <w:t>、资格</w:t>
      </w:r>
      <w:r>
        <w:rPr>
          <w:rFonts w:hint="eastAsia" w:ascii="仿宋" w:hAnsi="仿宋" w:eastAsia="仿宋" w:cs="仿宋"/>
          <w:color w:val="auto"/>
          <w:sz w:val="24"/>
          <w:highlight w:val="none"/>
          <w:lang w:val="en-US"/>
        </w:rPr>
        <w:t>评审标准</w:t>
      </w:r>
      <w:r>
        <w:rPr>
          <w:rFonts w:hint="eastAsia" w:ascii="仿宋" w:hAnsi="仿宋" w:eastAsia="仿宋" w:cs="仿宋"/>
          <w:color w:val="auto"/>
          <w:sz w:val="24"/>
          <w:highlight w:val="none"/>
          <w:lang w:val="en-US" w:eastAsia="zh-CN"/>
        </w:rPr>
        <w:t>如下</w:t>
      </w:r>
      <w:r>
        <w:rPr>
          <w:rFonts w:hint="eastAsia" w:ascii="仿宋" w:hAnsi="仿宋" w:eastAsia="仿宋" w:cs="仿宋"/>
          <w:color w:val="auto"/>
          <w:sz w:val="24"/>
          <w:highlight w:val="none"/>
          <w:lang w:val="en-US"/>
        </w:rPr>
        <w:t>：</w:t>
      </w:r>
    </w:p>
    <w:tbl>
      <w:tblPr>
        <w:tblStyle w:val="23"/>
        <w:tblW w:w="82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85"/>
        <w:gridCol w:w="2477"/>
        <w:gridCol w:w="4776"/>
      </w:tblGrid>
      <w:tr w14:paraId="6CEF0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exact"/>
          <w:jc w:val="center"/>
        </w:trPr>
        <w:tc>
          <w:tcPr>
            <w:tcW w:w="985" w:type="dxa"/>
            <w:shd w:val="clear" w:color="auto" w:fill="FFFFFF"/>
            <w:vAlign w:val="center"/>
          </w:tcPr>
          <w:p w14:paraId="038B4F38">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lang w:val="en-US"/>
              </w:rPr>
              <w:t>内容</w:t>
            </w:r>
          </w:p>
        </w:tc>
        <w:tc>
          <w:tcPr>
            <w:tcW w:w="2477" w:type="dxa"/>
            <w:shd w:val="clear" w:color="auto" w:fill="FFFFFF"/>
            <w:vAlign w:val="center"/>
          </w:tcPr>
          <w:p w14:paraId="136A0FF9">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rPr>
              <w:t>评审因素</w:t>
            </w:r>
          </w:p>
        </w:tc>
        <w:tc>
          <w:tcPr>
            <w:tcW w:w="4776" w:type="dxa"/>
            <w:shd w:val="clear" w:color="auto" w:fill="FFFFFF"/>
            <w:vAlign w:val="center"/>
          </w:tcPr>
          <w:p w14:paraId="2F0A2D9C">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b/>
                <w:color w:val="auto"/>
                <w:sz w:val="24"/>
                <w:highlight w:val="none"/>
              </w:rPr>
              <w:t>评审标准</w:t>
            </w:r>
          </w:p>
        </w:tc>
      </w:tr>
      <w:tr w14:paraId="316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985" w:type="dxa"/>
            <w:vMerge w:val="restart"/>
            <w:shd w:val="clear" w:color="auto" w:fill="FFFFFF"/>
            <w:vAlign w:val="center"/>
          </w:tcPr>
          <w:p w14:paraId="758FC061">
            <w:pPr>
              <w:pStyle w:val="63"/>
              <w:spacing w:after="20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形式评审</w:t>
            </w:r>
          </w:p>
          <w:p w14:paraId="5778A7C0">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标准</w:t>
            </w:r>
          </w:p>
        </w:tc>
        <w:tc>
          <w:tcPr>
            <w:tcW w:w="2477" w:type="dxa"/>
            <w:shd w:val="clear" w:color="auto" w:fill="FFFFFF"/>
            <w:vAlign w:val="center"/>
          </w:tcPr>
          <w:p w14:paraId="76AA770B">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响应单位</w:t>
            </w:r>
            <w:r>
              <w:rPr>
                <w:rStyle w:val="62"/>
                <w:rFonts w:hint="eastAsia" w:ascii="仿宋" w:hAnsi="仿宋" w:eastAsia="仿宋" w:cs="仿宋"/>
                <w:color w:val="auto"/>
                <w:sz w:val="24"/>
                <w:highlight w:val="none"/>
              </w:rPr>
              <w:t>名称</w:t>
            </w:r>
          </w:p>
        </w:tc>
        <w:tc>
          <w:tcPr>
            <w:tcW w:w="4776" w:type="dxa"/>
            <w:shd w:val="clear" w:color="auto" w:fill="FFFFFF"/>
            <w:vAlign w:val="center"/>
          </w:tcPr>
          <w:p w14:paraId="548DBF0B">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与营业执照一致</w:t>
            </w:r>
          </w:p>
        </w:tc>
      </w:tr>
      <w:tr w14:paraId="2F86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13" w:hRule="exact"/>
          <w:jc w:val="center"/>
        </w:trPr>
        <w:tc>
          <w:tcPr>
            <w:tcW w:w="985" w:type="dxa"/>
            <w:vMerge w:val="continue"/>
            <w:shd w:val="clear" w:color="auto" w:fill="FFFFFF"/>
            <w:vAlign w:val="center"/>
          </w:tcPr>
          <w:p w14:paraId="33E7905F">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2D13B766">
            <w:pPr>
              <w:pStyle w:val="63"/>
              <w:spacing w:after="18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报价</w:t>
            </w:r>
            <w:r>
              <w:rPr>
                <w:rStyle w:val="62"/>
                <w:rFonts w:hint="eastAsia" w:ascii="仿宋" w:hAnsi="仿宋" w:eastAsia="仿宋" w:cs="仿宋"/>
                <w:color w:val="auto"/>
                <w:sz w:val="24"/>
                <w:highlight w:val="none"/>
              </w:rPr>
              <w:t>函</w:t>
            </w:r>
            <w:r>
              <w:rPr>
                <w:rStyle w:val="62"/>
                <w:rFonts w:hint="eastAsia" w:ascii="仿宋" w:hAnsi="仿宋" w:eastAsia="仿宋" w:cs="仿宋"/>
                <w:color w:val="auto"/>
                <w:sz w:val="24"/>
                <w:highlight w:val="none"/>
                <w:lang w:val="en-US"/>
              </w:rPr>
              <w:t>及附件清单</w:t>
            </w:r>
            <w:r>
              <w:rPr>
                <w:rStyle w:val="62"/>
                <w:rFonts w:hint="eastAsia" w:ascii="仿宋" w:hAnsi="仿宋" w:eastAsia="仿宋" w:cs="仿宋"/>
                <w:color w:val="auto"/>
                <w:sz w:val="24"/>
                <w:highlight w:val="none"/>
              </w:rPr>
              <w:t>签名盖章</w:t>
            </w:r>
          </w:p>
        </w:tc>
        <w:tc>
          <w:tcPr>
            <w:tcW w:w="4776" w:type="dxa"/>
            <w:shd w:val="clear" w:color="auto" w:fill="FFFFFF"/>
            <w:vAlign w:val="center"/>
          </w:tcPr>
          <w:p w14:paraId="709016C2">
            <w:pPr>
              <w:pStyle w:val="63"/>
              <w:spacing w:line="445"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有</w:t>
            </w:r>
            <w:r>
              <w:rPr>
                <w:rStyle w:val="62"/>
                <w:rFonts w:hint="eastAsia" w:ascii="仿宋" w:hAnsi="仿宋" w:eastAsia="仿宋" w:cs="仿宋"/>
                <w:color w:val="auto"/>
                <w:sz w:val="24"/>
                <w:highlight w:val="none"/>
              </w:rPr>
              <w:t>法定代表人或其委托代理人签名或加盖单位</w:t>
            </w:r>
            <w:r>
              <w:rPr>
                <w:rStyle w:val="62"/>
                <w:rFonts w:hint="eastAsia" w:ascii="仿宋" w:hAnsi="仿宋" w:eastAsia="仿宋" w:cs="仿宋"/>
                <w:color w:val="auto"/>
                <w:sz w:val="24"/>
                <w:highlight w:val="none"/>
                <w:lang w:val="en-US"/>
              </w:rPr>
              <w:t>公</w:t>
            </w:r>
            <w:r>
              <w:rPr>
                <w:rStyle w:val="62"/>
                <w:rFonts w:hint="eastAsia" w:ascii="仿宋" w:hAnsi="仿宋" w:eastAsia="仿宋" w:cs="仿宋"/>
                <w:color w:val="auto"/>
                <w:sz w:val="24"/>
                <w:highlight w:val="none"/>
              </w:rPr>
              <w:t>章。由法定代表人签名的，应附法定代表人身份证明，由代理人签名的，应附授权委托书，身份证明或授权委托书应符合第</w:t>
            </w:r>
            <w:r>
              <w:rPr>
                <w:rStyle w:val="62"/>
                <w:rFonts w:hint="eastAsia" w:ascii="仿宋" w:hAnsi="仿宋" w:eastAsia="仿宋" w:cs="仿宋"/>
                <w:color w:val="auto"/>
                <w:sz w:val="24"/>
                <w:highlight w:val="none"/>
                <w:lang w:val="en-US"/>
              </w:rPr>
              <w:t>三</w:t>
            </w:r>
            <w:r>
              <w:rPr>
                <w:rStyle w:val="62"/>
                <w:rFonts w:hint="eastAsia" w:ascii="仿宋" w:hAnsi="仿宋" w:eastAsia="仿宋" w:cs="仿宋"/>
                <w:color w:val="auto"/>
                <w:sz w:val="24"/>
                <w:highlight w:val="none"/>
              </w:rPr>
              <w:t>章“</w:t>
            </w: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文件格式”的规定</w:t>
            </w:r>
          </w:p>
        </w:tc>
      </w:tr>
      <w:tr w14:paraId="4546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985" w:type="dxa"/>
            <w:vMerge w:val="continue"/>
            <w:shd w:val="clear" w:color="auto" w:fill="FFFFFF"/>
            <w:vAlign w:val="center"/>
          </w:tcPr>
          <w:p w14:paraId="2ABFE7C7">
            <w:pPr>
              <w:pStyle w:val="63"/>
              <w:spacing w:line="445" w:lineRule="exact"/>
              <w:ind w:firstLine="0"/>
              <w:rPr>
                <w:rFonts w:hint="eastAsia" w:ascii="仿宋" w:hAnsi="仿宋" w:eastAsia="仿宋" w:cs="仿宋"/>
                <w:color w:val="auto"/>
                <w:sz w:val="24"/>
                <w:highlight w:val="none"/>
              </w:rPr>
            </w:pPr>
          </w:p>
        </w:tc>
        <w:tc>
          <w:tcPr>
            <w:tcW w:w="2477" w:type="dxa"/>
            <w:shd w:val="clear" w:color="auto" w:fill="FFFFFF"/>
            <w:vAlign w:val="center"/>
          </w:tcPr>
          <w:p w14:paraId="538A5B96">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w:t>
            </w:r>
          </w:p>
        </w:tc>
        <w:tc>
          <w:tcPr>
            <w:tcW w:w="4776" w:type="dxa"/>
            <w:shd w:val="clear" w:color="auto" w:fill="FFFFFF"/>
            <w:vAlign w:val="center"/>
          </w:tcPr>
          <w:p w14:paraId="0C7E0E59">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w:t>
            </w:r>
            <w:r>
              <w:rPr>
                <w:rStyle w:val="62"/>
                <w:rFonts w:hint="eastAsia" w:ascii="仿宋" w:hAnsi="仿宋" w:eastAsia="仿宋" w:cs="仿宋"/>
                <w:color w:val="auto"/>
                <w:sz w:val="24"/>
                <w:highlight w:val="none"/>
                <w:lang w:val="en-US"/>
              </w:rPr>
              <w:t>三</w:t>
            </w:r>
            <w:r>
              <w:rPr>
                <w:rStyle w:val="62"/>
                <w:rFonts w:hint="eastAsia" w:ascii="仿宋" w:hAnsi="仿宋" w:eastAsia="仿宋" w:cs="仿宋"/>
                <w:color w:val="auto"/>
                <w:sz w:val="24"/>
                <w:highlight w:val="none"/>
              </w:rPr>
              <w:t>章“</w:t>
            </w:r>
            <w:r>
              <w:rPr>
                <w:rStyle w:val="62"/>
                <w:rFonts w:hint="eastAsia" w:ascii="仿宋" w:hAnsi="仿宋" w:eastAsia="仿宋" w:cs="仿宋"/>
                <w:color w:val="auto"/>
                <w:sz w:val="24"/>
                <w:highlight w:val="none"/>
                <w:lang w:val="en-US"/>
              </w:rPr>
              <w:t>响应</w:t>
            </w:r>
            <w:r>
              <w:rPr>
                <w:rStyle w:val="62"/>
                <w:rFonts w:hint="eastAsia" w:ascii="仿宋" w:hAnsi="仿宋" w:eastAsia="仿宋" w:cs="仿宋"/>
                <w:color w:val="auto"/>
                <w:sz w:val="24"/>
                <w:highlight w:val="none"/>
              </w:rPr>
              <w:t>文件格式”的规定</w:t>
            </w:r>
          </w:p>
        </w:tc>
      </w:tr>
      <w:tr w14:paraId="30FB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985" w:type="dxa"/>
            <w:vMerge w:val="restart"/>
            <w:shd w:val="clear" w:color="auto" w:fill="FFFFFF"/>
            <w:vAlign w:val="center"/>
          </w:tcPr>
          <w:p w14:paraId="233C1645">
            <w:pPr>
              <w:pStyle w:val="63"/>
              <w:spacing w:after="200"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资格评审</w:t>
            </w:r>
          </w:p>
          <w:p w14:paraId="166939D6">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标准</w:t>
            </w:r>
          </w:p>
        </w:tc>
        <w:tc>
          <w:tcPr>
            <w:tcW w:w="2477" w:type="dxa"/>
            <w:shd w:val="clear" w:color="auto" w:fill="FFFFFF"/>
            <w:vAlign w:val="center"/>
          </w:tcPr>
          <w:p w14:paraId="382F3231">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营业执照</w:t>
            </w:r>
          </w:p>
        </w:tc>
        <w:tc>
          <w:tcPr>
            <w:tcW w:w="4776" w:type="dxa"/>
            <w:shd w:val="clear" w:color="auto" w:fill="FFFFFF"/>
            <w:vAlign w:val="center"/>
          </w:tcPr>
          <w:p w14:paraId="401F7B0E">
            <w:pPr>
              <w:pStyle w:val="63"/>
              <w:spacing w:line="461"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3.1</w:t>
            </w:r>
            <w:r>
              <w:rPr>
                <w:rStyle w:val="62"/>
                <w:rFonts w:hint="eastAsia" w:ascii="仿宋" w:hAnsi="仿宋" w:eastAsia="仿宋" w:cs="仿宋"/>
                <w:color w:val="auto"/>
                <w:sz w:val="24"/>
                <w:highlight w:val="none"/>
              </w:rPr>
              <w:t>项规定，具备有效的营业执照</w:t>
            </w:r>
          </w:p>
        </w:tc>
      </w:tr>
      <w:tr w14:paraId="4217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985" w:type="dxa"/>
            <w:vMerge w:val="continue"/>
            <w:shd w:val="clear" w:color="auto" w:fill="FFFFFF"/>
            <w:vAlign w:val="center"/>
          </w:tcPr>
          <w:p w14:paraId="706FB516">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10CDAFDF">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财务要求</w:t>
            </w:r>
          </w:p>
        </w:tc>
        <w:tc>
          <w:tcPr>
            <w:tcW w:w="4776" w:type="dxa"/>
            <w:shd w:val="clear" w:color="auto" w:fill="FFFFFF"/>
            <w:vAlign w:val="center"/>
          </w:tcPr>
          <w:p w14:paraId="4FBF26E9">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3.2</w:t>
            </w:r>
            <w:r>
              <w:rPr>
                <w:rStyle w:val="62"/>
                <w:rFonts w:hint="eastAsia" w:ascii="仿宋" w:hAnsi="仿宋" w:eastAsia="仿宋" w:cs="仿宋"/>
                <w:color w:val="auto"/>
                <w:sz w:val="24"/>
                <w:highlight w:val="none"/>
              </w:rPr>
              <w:t>项规定</w:t>
            </w:r>
          </w:p>
        </w:tc>
      </w:tr>
      <w:tr w14:paraId="05A0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exact"/>
          <w:jc w:val="center"/>
        </w:trPr>
        <w:tc>
          <w:tcPr>
            <w:tcW w:w="985" w:type="dxa"/>
            <w:vMerge w:val="continue"/>
            <w:shd w:val="clear" w:color="auto" w:fill="FFFFFF"/>
            <w:vAlign w:val="center"/>
          </w:tcPr>
          <w:p w14:paraId="40E4EB3F">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70CAF57D">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业绩要求</w:t>
            </w:r>
          </w:p>
        </w:tc>
        <w:tc>
          <w:tcPr>
            <w:tcW w:w="4776" w:type="dxa"/>
            <w:shd w:val="clear" w:color="auto" w:fill="FFFFFF"/>
            <w:vAlign w:val="center"/>
          </w:tcPr>
          <w:p w14:paraId="61DB19C2">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3.3</w:t>
            </w:r>
            <w:r>
              <w:rPr>
                <w:rStyle w:val="62"/>
                <w:rFonts w:hint="eastAsia" w:ascii="仿宋" w:hAnsi="仿宋" w:eastAsia="仿宋" w:cs="仿宋"/>
                <w:color w:val="auto"/>
                <w:sz w:val="24"/>
                <w:highlight w:val="none"/>
              </w:rPr>
              <w:t>项规定</w:t>
            </w:r>
          </w:p>
        </w:tc>
      </w:tr>
      <w:tr w14:paraId="690C0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 w:hRule="exact"/>
          <w:jc w:val="center"/>
        </w:trPr>
        <w:tc>
          <w:tcPr>
            <w:tcW w:w="985" w:type="dxa"/>
            <w:vMerge w:val="continue"/>
            <w:shd w:val="clear" w:color="auto" w:fill="FFFFFF"/>
            <w:vAlign w:val="center"/>
          </w:tcPr>
          <w:p w14:paraId="0FF2C9A2">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644AF528">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信誉要求</w:t>
            </w:r>
          </w:p>
        </w:tc>
        <w:tc>
          <w:tcPr>
            <w:tcW w:w="4776" w:type="dxa"/>
            <w:shd w:val="clear" w:color="auto" w:fill="FFFFFF"/>
            <w:vAlign w:val="center"/>
          </w:tcPr>
          <w:p w14:paraId="012C85B2">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3.4</w:t>
            </w:r>
            <w:r>
              <w:rPr>
                <w:rStyle w:val="62"/>
                <w:rFonts w:hint="eastAsia" w:ascii="仿宋" w:hAnsi="仿宋" w:eastAsia="仿宋" w:cs="仿宋"/>
                <w:color w:val="auto"/>
                <w:sz w:val="24"/>
                <w:highlight w:val="none"/>
              </w:rPr>
              <w:t>项规定</w:t>
            </w:r>
          </w:p>
        </w:tc>
      </w:tr>
      <w:tr w14:paraId="4CF4C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2" w:hRule="exact"/>
          <w:jc w:val="center"/>
        </w:trPr>
        <w:tc>
          <w:tcPr>
            <w:tcW w:w="985" w:type="dxa"/>
            <w:vMerge w:val="continue"/>
            <w:shd w:val="clear" w:color="auto" w:fill="FFFFFF"/>
          </w:tcPr>
          <w:p w14:paraId="4625B61A">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27413445">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其他要求</w:t>
            </w:r>
          </w:p>
        </w:tc>
        <w:tc>
          <w:tcPr>
            <w:tcW w:w="4776" w:type="dxa"/>
            <w:shd w:val="clear" w:color="auto" w:fill="FFFFFF"/>
            <w:vAlign w:val="bottom"/>
          </w:tcPr>
          <w:p w14:paraId="2DBD3C2F">
            <w:pPr>
              <w:pStyle w:val="63"/>
              <w:spacing w:line="240" w:lineRule="auto"/>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符合第二章“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3.5及3.6</w:t>
            </w:r>
            <w:r>
              <w:rPr>
                <w:rStyle w:val="62"/>
                <w:rFonts w:hint="eastAsia" w:ascii="仿宋" w:hAnsi="仿宋" w:eastAsia="仿宋" w:cs="仿宋"/>
                <w:color w:val="auto"/>
                <w:sz w:val="24"/>
                <w:highlight w:val="none"/>
              </w:rPr>
              <w:t>项规定</w:t>
            </w:r>
          </w:p>
        </w:tc>
      </w:tr>
      <w:tr w14:paraId="31DF1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8" w:hRule="exact"/>
          <w:jc w:val="center"/>
        </w:trPr>
        <w:tc>
          <w:tcPr>
            <w:tcW w:w="985" w:type="dxa"/>
            <w:vMerge w:val="continue"/>
            <w:shd w:val="clear" w:color="auto" w:fill="FFFFFF"/>
          </w:tcPr>
          <w:p w14:paraId="54510A29">
            <w:pPr>
              <w:pStyle w:val="63"/>
              <w:spacing w:line="240" w:lineRule="auto"/>
              <w:ind w:firstLine="0"/>
              <w:rPr>
                <w:rFonts w:hint="eastAsia" w:ascii="仿宋" w:hAnsi="仿宋" w:eastAsia="仿宋" w:cs="仿宋"/>
                <w:color w:val="auto"/>
                <w:sz w:val="24"/>
                <w:highlight w:val="none"/>
              </w:rPr>
            </w:pPr>
          </w:p>
        </w:tc>
        <w:tc>
          <w:tcPr>
            <w:tcW w:w="2477" w:type="dxa"/>
            <w:shd w:val="clear" w:color="auto" w:fill="FFFFFF"/>
            <w:vAlign w:val="center"/>
          </w:tcPr>
          <w:p w14:paraId="0393AFEA">
            <w:pPr>
              <w:pStyle w:val="63"/>
              <w:spacing w:line="240" w:lineRule="auto"/>
              <w:ind w:firstLine="0"/>
              <w:jc w:val="center"/>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lang w:val="en-US"/>
              </w:rPr>
              <w:t>响应单位不得存在</w:t>
            </w:r>
            <w:r>
              <w:rPr>
                <w:rStyle w:val="62"/>
                <w:rFonts w:hint="eastAsia" w:ascii="仿宋" w:hAnsi="仿宋" w:eastAsia="仿宋" w:cs="仿宋"/>
                <w:color w:val="auto"/>
                <w:sz w:val="24"/>
                <w:highlight w:val="none"/>
              </w:rPr>
              <w:t>的情形</w:t>
            </w:r>
          </w:p>
        </w:tc>
        <w:tc>
          <w:tcPr>
            <w:tcW w:w="4776" w:type="dxa"/>
            <w:shd w:val="clear" w:color="auto" w:fill="FFFFFF"/>
            <w:vAlign w:val="bottom"/>
          </w:tcPr>
          <w:p w14:paraId="27463B92">
            <w:pPr>
              <w:pStyle w:val="63"/>
              <w:spacing w:line="451" w:lineRule="exact"/>
              <w:ind w:firstLine="0"/>
              <w:rPr>
                <w:rFonts w:hint="eastAsia" w:ascii="仿宋" w:hAnsi="仿宋" w:eastAsia="仿宋" w:cs="仿宋"/>
                <w:color w:val="auto"/>
                <w:sz w:val="24"/>
                <w:highlight w:val="none"/>
              </w:rPr>
            </w:pPr>
            <w:r>
              <w:rPr>
                <w:rStyle w:val="62"/>
                <w:rFonts w:hint="eastAsia" w:ascii="仿宋" w:hAnsi="仿宋" w:eastAsia="仿宋" w:cs="仿宋"/>
                <w:color w:val="auto"/>
                <w:sz w:val="24"/>
                <w:highlight w:val="none"/>
              </w:rPr>
              <w:t>不存在第二章“</w:t>
            </w:r>
            <w:r>
              <w:rPr>
                <w:rStyle w:val="62"/>
                <w:rFonts w:hint="eastAsia" w:ascii="仿宋" w:hAnsi="仿宋" w:eastAsia="仿宋" w:cs="仿宋"/>
                <w:color w:val="auto"/>
                <w:sz w:val="24"/>
                <w:highlight w:val="none"/>
                <w:lang w:val="en-US"/>
              </w:rPr>
              <w:t>供应商</w:t>
            </w:r>
            <w:r>
              <w:rPr>
                <w:rStyle w:val="62"/>
                <w:rFonts w:hint="eastAsia" w:ascii="仿宋" w:hAnsi="仿宋" w:eastAsia="仿宋" w:cs="仿宋"/>
                <w:color w:val="auto"/>
                <w:sz w:val="24"/>
                <w:highlight w:val="none"/>
              </w:rPr>
              <w:t>须知”第</w:t>
            </w:r>
            <w:r>
              <w:rPr>
                <w:rStyle w:val="62"/>
                <w:rFonts w:hint="eastAsia" w:ascii="仿宋" w:hAnsi="仿宋" w:eastAsia="仿宋" w:cs="仿宋"/>
                <w:color w:val="auto"/>
                <w:sz w:val="24"/>
                <w:highlight w:val="none"/>
                <w:lang w:val="en-US"/>
              </w:rPr>
              <w:t>4</w:t>
            </w:r>
            <w:r>
              <w:rPr>
                <w:rStyle w:val="62"/>
                <w:rFonts w:hint="eastAsia" w:ascii="仿宋" w:hAnsi="仿宋" w:eastAsia="仿宋" w:cs="仿宋"/>
                <w:color w:val="auto"/>
                <w:sz w:val="24"/>
                <w:highlight w:val="none"/>
              </w:rPr>
              <w:t>项规定的任何一种情形</w:t>
            </w:r>
          </w:p>
        </w:tc>
      </w:tr>
    </w:tbl>
    <w:p w14:paraId="0E297AC3">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66" w:name="_Toc24261"/>
      <w:bookmarkStart w:id="67" w:name="_Toc627"/>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价格</w:t>
      </w:r>
      <w:r>
        <w:rPr>
          <w:rFonts w:hint="eastAsia" w:ascii="仿宋" w:hAnsi="仿宋" w:eastAsia="仿宋" w:cs="仿宋"/>
          <w:color w:val="auto"/>
          <w:sz w:val="28"/>
          <w:szCs w:val="28"/>
        </w:rPr>
        <w:t>评审</w:t>
      </w:r>
      <w:bookmarkEnd w:id="66"/>
      <w:bookmarkEnd w:id="67"/>
    </w:p>
    <w:p w14:paraId="405D7AF8">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经过评审后的有效报价下浮率进行由高到低进行排名</w:t>
      </w:r>
      <w:r>
        <w:rPr>
          <w:rFonts w:hint="eastAsia" w:ascii="仿宋" w:hAnsi="仿宋" w:eastAsia="仿宋" w:cs="仿宋"/>
          <w:b/>
          <w:bCs/>
          <w:color w:val="auto"/>
          <w:kern w:val="2"/>
          <w:sz w:val="24"/>
          <w:szCs w:val="24"/>
          <w:highlight w:val="none"/>
          <w:lang w:val="en-US" w:eastAsia="zh-CN" w:bidi="ar-SA"/>
        </w:rPr>
        <w:t>。</w:t>
      </w:r>
    </w:p>
    <w:p w14:paraId="62EACACF">
      <w:pPr>
        <w:spacing w:line="360" w:lineRule="auto"/>
        <w:ind w:firstLine="480" w:firstLineChars="200"/>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本次采购为赣州景区建设运营有限公司经营性采购，为避免因进项税额不足以抵扣销项税额而可能产生的亏损，如中标人系小规模纳税人，招标人将在不含税采购价的基础上，于付款时扣除因进项税额不足所导致的税负损失。具体计算公式为：扣除金额 = 不含税采购价 ×（一般纳税人适用税率 – 小规模纳税人适用税率）×（1 + 招标人附加税率）。请各小规模纳税人综合测算后，在报价中进行下浮响应。</w:t>
      </w:r>
    </w:p>
    <w:p w14:paraId="738DFE81">
      <w:pPr>
        <w:pStyle w:val="3"/>
        <w:numPr>
          <w:ilvl w:val="1"/>
          <w:numId w:val="0"/>
        </w:numPr>
        <w:spacing w:before="0" w:after="0" w:line="560" w:lineRule="exact"/>
        <w:ind w:firstLine="403"/>
        <w:outlineLvl w:val="9"/>
        <w:rPr>
          <w:rFonts w:hint="eastAsia" w:ascii="仿宋" w:hAnsi="仿宋" w:eastAsia="仿宋" w:cs="仿宋"/>
          <w:color w:val="auto"/>
          <w:sz w:val="28"/>
          <w:szCs w:val="28"/>
        </w:rPr>
      </w:pPr>
      <w:bookmarkStart w:id="68" w:name="_Toc24803"/>
      <w:bookmarkStart w:id="69" w:name="_Toc16175"/>
      <w:r>
        <w:rPr>
          <w:rFonts w:hint="eastAsia" w:ascii="仿宋" w:hAnsi="仿宋" w:eastAsia="仿宋" w:cs="仿宋"/>
          <w:color w:val="auto"/>
          <w:sz w:val="28"/>
          <w:szCs w:val="28"/>
          <w:lang w:val="en-US" w:eastAsia="zh-CN"/>
        </w:rPr>
        <w:t>4.评审</w:t>
      </w:r>
      <w:r>
        <w:rPr>
          <w:rFonts w:hint="eastAsia" w:ascii="仿宋" w:hAnsi="仿宋" w:eastAsia="仿宋" w:cs="仿宋"/>
          <w:color w:val="auto"/>
          <w:sz w:val="28"/>
          <w:szCs w:val="28"/>
        </w:rPr>
        <w:t>结果</w:t>
      </w:r>
      <w:bookmarkEnd w:id="68"/>
      <w:bookmarkEnd w:id="69"/>
    </w:p>
    <w:p w14:paraId="6A0199C6">
      <w:pPr>
        <w:pStyle w:val="65"/>
        <w:tabs>
          <w:tab w:val="left" w:pos="1034"/>
        </w:tabs>
        <w:spacing w:line="360" w:lineRule="auto"/>
        <w:ind w:firstLine="442"/>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lang w:val="en-US" w:eastAsia="zh-CN"/>
        </w:rPr>
        <w:t>由评审</w:t>
      </w:r>
      <w:r>
        <w:rPr>
          <w:rFonts w:hint="eastAsia" w:ascii="仿宋" w:hAnsi="仿宋" w:eastAsia="仿宋" w:cs="仿宋"/>
          <w:color w:val="auto"/>
          <w:sz w:val="24"/>
          <w:highlight w:val="none"/>
          <w:lang w:val="en-US"/>
        </w:rPr>
        <w:t>委员</w:t>
      </w:r>
      <w:r>
        <w:rPr>
          <w:rFonts w:hint="eastAsia" w:ascii="仿宋" w:hAnsi="仿宋" w:eastAsia="仿宋" w:cs="仿宋"/>
          <w:color w:val="auto"/>
          <w:sz w:val="24"/>
          <w:highlight w:val="none"/>
          <w:lang w:val="en-US" w:eastAsia="zh-CN"/>
        </w:rPr>
        <w:t>组成的评审小组，</w:t>
      </w:r>
      <w:r>
        <w:rPr>
          <w:rFonts w:hint="eastAsia" w:ascii="仿宋" w:hAnsi="仿宋" w:eastAsia="仿宋" w:cs="仿宋"/>
          <w:color w:val="auto"/>
          <w:sz w:val="24"/>
          <w:highlight w:val="none"/>
          <w:lang w:val="en-US"/>
        </w:rPr>
        <w:t>完成</w:t>
      </w:r>
      <w:r>
        <w:rPr>
          <w:rFonts w:hint="eastAsia" w:ascii="仿宋" w:hAnsi="仿宋" w:eastAsia="仿宋" w:cs="仿宋"/>
          <w:color w:val="auto"/>
          <w:sz w:val="24"/>
          <w:highlight w:val="none"/>
          <w:lang w:val="en-US" w:eastAsia="zh-CN"/>
        </w:rPr>
        <w:t>初步评审、价格评审</w:t>
      </w:r>
      <w:r>
        <w:rPr>
          <w:rFonts w:hint="eastAsia" w:ascii="仿宋" w:hAnsi="仿宋" w:eastAsia="仿宋" w:cs="仿宋"/>
          <w:color w:val="auto"/>
          <w:sz w:val="24"/>
          <w:highlight w:val="none"/>
          <w:lang w:val="en-US"/>
        </w:rPr>
        <w:t>后，向</w:t>
      </w:r>
      <w:r>
        <w:rPr>
          <w:rFonts w:hint="eastAsia" w:ascii="仿宋" w:hAnsi="仿宋" w:eastAsia="仿宋" w:cs="仿宋"/>
          <w:color w:val="auto"/>
          <w:sz w:val="24"/>
          <w:highlight w:val="none"/>
          <w:lang w:val="en-US" w:eastAsia="zh-CN"/>
        </w:rPr>
        <w:t>采购</w:t>
      </w:r>
      <w:r>
        <w:rPr>
          <w:rFonts w:hint="eastAsia" w:ascii="仿宋" w:hAnsi="仿宋" w:eastAsia="仿宋" w:cs="仿宋"/>
          <w:color w:val="auto"/>
          <w:sz w:val="24"/>
          <w:highlight w:val="none"/>
          <w:lang w:val="en-US"/>
        </w:rPr>
        <w:t>人提交书面</w:t>
      </w:r>
      <w:r>
        <w:rPr>
          <w:rFonts w:hint="eastAsia" w:ascii="仿宋" w:hAnsi="仿宋" w:eastAsia="仿宋" w:cs="仿宋"/>
          <w:color w:val="auto"/>
          <w:sz w:val="24"/>
          <w:highlight w:val="none"/>
          <w:lang w:val="en-US" w:eastAsia="zh-CN"/>
        </w:rPr>
        <w:t>评审</w:t>
      </w:r>
      <w:r>
        <w:rPr>
          <w:rFonts w:hint="eastAsia" w:ascii="仿宋" w:hAnsi="仿宋" w:eastAsia="仿宋" w:cs="仿宋"/>
          <w:color w:val="auto"/>
          <w:sz w:val="24"/>
          <w:highlight w:val="none"/>
          <w:lang w:val="en-US"/>
        </w:rPr>
        <w:t>报告和入围框架协议</w:t>
      </w:r>
      <w:r>
        <w:rPr>
          <w:rFonts w:hint="eastAsia" w:ascii="仿宋" w:hAnsi="仿宋" w:eastAsia="仿宋" w:cs="仿宋"/>
          <w:color w:val="auto"/>
          <w:sz w:val="24"/>
          <w:highlight w:val="none"/>
          <w:lang w:val="en-US" w:eastAsia="zh-CN"/>
        </w:rPr>
        <w:t>供应商名单</w:t>
      </w:r>
      <w:r>
        <w:rPr>
          <w:rFonts w:hint="eastAsia" w:ascii="仿宋" w:hAnsi="仿宋" w:eastAsia="仿宋" w:cs="仿宋"/>
          <w:color w:val="auto"/>
          <w:sz w:val="24"/>
          <w:highlight w:val="none"/>
          <w:lang w:val="en-US"/>
        </w:rPr>
        <w:t>。</w:t>
      </w:r>
    </w:p>
    <w:bookmarkEnd w:id="45"/>
    <w:bookmarkEnd w:id="46"/>
    <w:bookmarkEnd w:id="47"/>
    <w:bookmarkEnd w:id="48"/>
    <w:bookmarkEnd w:id="49"/>
    <w:bookmarkEnd w:id="50"/>
    <w:bookmarkEnd w:id="51"/>
    <w:bookmarkEnd w:id="52"/>
    <w:bookmarkEnd w:id="53"/>
    <w:bookmarkEnd w:id="54"/>
    <w:p w14:paraId="318AFC6B">
      <w:pPr>
        <w:bidi w:val="0"/>
        <w:rPr>
          <w:rFonts w:hint="eastAsia"/>
        </w:rPr>
      </w:pPr>
      <w:r>
        <w:rPr>
          <w:rFonts w:hint="eastAsia"/>
        </w:rPr>
        <w:br w:type="page"/>
      </w:r>
    </w:p>
    <w:p w14:paraId="35254E85">
      <w:pPr>
        <w:pStyle w:val="2"/>
        <w:numPr>
          <w:ilvl w:val="0"/>
          <w:numId w:val="0"/>
        </w:numPr>
        <w:spacing w:before="200" w:after="200" w:line="560" w:lineRule="exact"/>
        <w:jc w:val="center"/>
        <w:rPr>
          <w:rFonts w:hint="eastAsia" w:ascii="仿宋" w:hAnsi="仿宋" w:eastAsia="仿宋" w:cs="仿宋"/>
          <w:color w:val="auto"/>
          <w:highlight w:val="none"/>
        </w:rPr>
      </w:pPr>
      <w:bookmarkStart w:id="70" w:name="_Toc6692"/>
      <w:bookmarkStart w:id="71" w:name="_Toc1097"/>
      <w:r>
        <w:rPr>
          <w:rFonts w:hint="eastAsia" w:ascii="仿宋" w:hAnsi="仿宋" w:eastAsia="仿宋" w:cs="仿宋"/>
          <w:color w:val="auto"/>
          <w:highlight w:val="none"/>
        </w:rPr>
        <w:t>第</w:t>
      </w:r>
      <w:r>
        <w:rPr>
          <w:rFonts w:hint="eastAsia" w:ascii="仿宋" w:hAnsi="仿宋" w:eastAsia="仿宋" w:cs="仿宋"/>
          <w:color w:val="auto"/>
          <w:highlight w:val="none"/>
          <w:lang w:val="en-US" w:eastAsia="zh-CN"/>
        </w:rPr>
        <w:t>四</w:t>
      </w:r>
      <w:r>
        <w:rPr>
          <w:rFonts w:hint="eastAsia" w:ascii="仿宋" w:hAnsi="仿宋" w:eastAsia="仿宋" w:cs="仿宋"/>
          <w:color w:val="auto"/>
          <w:highlight w:val="none"/>
        </w:rPr>
        <w:t>章</w:t>
      </w:r>
      <w:r>
        <w:rPr>
          <w:rFonts w:hint="eastAsia" w:ascii="仿宋" w:hAnsi="仿宋" w:eastAsia="仿宋" w:cs="仿宋"/>
          <w:color w:val="auto"/>
          <w:highlight w:val="none"/>
          <w:lang w:val="en-US" w:eastAsia="zh-CN"/>
        </w:rPr>
        <w:t xml:space="preserve"> 响应</w:t>
      </w:r>
      <w:r>
        <w:rPr>
          <w:rFonts w:hint="eastAsia" w:ascii="仿宋" w:hAnsi="仿宋" w:eastAsia="仿宋" w:cs="仿宋"/>
          <w:color w:val="auto"/>
          <w:highlight w:val="none"/>
        </w:rPr>
        <w:t>文件格式</w:t>
      </w:r>
      <w:bookmarkEnd w:id="70"/>
      <w:bookmarkEnd w:id="71"/>
    </w:p>
    <w:p w14:paraId="439A18C5">
      <w:pPr>
        <w:jc w:val="right"/>
        <w:rPr>
          <w:rFonts w:hint="default" w:eastAsia="宋体"/>
          <w:lang w:val="en-US" w:eastAsia="zh-CN"/>
        </w:rPr>
      </w:pPr>
      <w:r>
        <w:rPr>
          <w:rFonts w:hint="eastAsia"/>
          <w:lang w:val="en-US" w:eastAsia="zh-CN"/>
        </w:rPr>
        <w:t>（正本    副本）</w:t>
      </w:r>
    </w:p>
    <w:p w14:paraId="42C3198B">
      <w:pPr>
        <w:shd w:val="clear" w:color="auto" w:fill="FFFFFF"/>
        <w:spacing w:line="460" w:lineRule="exact"/>
        <w:jc w:val="right"/>
        <w:rPr>
          <w:rFonts w:hint="eastAsia" w:ascii="仿宋" w:hAnsi="仿宋" w:eastAsia="仿宋" w:cs="仿宋"/>
          <w:b/>
          <w:color w:val="auto"/>
          <w:sz w:val="30"/>
          <w:highlight w:val="none"/>
        </w:rPr>
      </w:pPr>
      <w:r>
        <w:rPr>
          <w:rFonts w:hint="eastAsia" w:ascii="仿宋" w:hAnsi="仿宋" w:eastAsia="仿宋" w:cs="仿宋"/>
          <w:color w:val="auto"/>
          <w:sz w:val="30"/>
          <w:highlight w:val="none"/>
        </w:rPr>
        <w:t>　　</w:t>
      </w:r>
    </w:p>
    <w:p w14:paraId="15016A2E">
      <w:pPr>
        <w:pStyle w:val="7"/>
        <w:rPr>
          <w:rFonts w:hint="eastAsia" w:ascii="仿宋" w:hAnsi="仿宋" w:eastAsia="仿宋" w:cs="仿宋"/>
          <w:color w:val="auto"/>
          <w:highlight w:val="none"/>
        </w:rPr>
      </w:pPr>
    </w:p>
    <w:p w14:paraId="1AB34B93">
      <w:pPr>
        <w:jc w:val="center"/>
        <w:rPr>
          <w:rFonts w:hint="eastAsia" w:ascii="仿宋" w:hAnsi="仿宋" w:eastAsia="仿宋" w:cs="仿宋"/>
          <w:b/>
          <w:bCs/>
          <w:color w:val="auto"/>
          <w:sz w:val="56"/>
          <w:szCs w:val="56"/>
          <w:highlight w:val="none"/>
        </w:rPr>
      </w:pPr>
    </w:p>
    <w:p w14:paraId="1552BE02">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28"/>
          <w:szCs w:val="28"/>
          <w:highlight w:val="none"/>
          <w:u w:val="single"/>
          <w:lang w:val="en-US" w:eastAsia="zh-CN"/>
        </w:rPr>
      </w:pPr>
      <w:r>
        <w:rPr>
          <w:rFonts w:hint="eastAsia" w:ascii="仿宋" w:hAnsi="仿宋" w:eastAsia="仿宋" w:cs="仿宋"/>
          <w:b/>
          <w:bCs/>
          <w:color w:val="auto"/>
          <w:sz w:val="28"/>
          <w:szCs w:val="28"/>
          <w:highlight w:val="none"/>
          <w:u w:val="single"/>
          <w:lang w:val="en-US" w:eastAsia="zh-CN"/>
        </w:rPr>
        <w:t>赣州景区建设运营有限公司猪肉类产品2026-2027年度框架协议</w:t>
      </w:r>
    </w:p>
    <w:p w14:paraId="580AB16D">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color w:val="auto"/>
          <w:sz w:val="28"/>
          <w:szCs w:val="28"/>
          <w:highlight w:val="none"/>
        </w:rPr>
      </w:pPr>
      <w:r>
        <w:rPr>
          <w:rFonts w:hint="eastAsia" w:ascii="仿宋" w:hAnsi="仿宋" w:eastAsia="仿宋" w:cs="仿宋"/>
          <w:b/>
          <w:bCs/>
          <w:color w:val="auto"/>
          <w:sz w:val="28"/>
          <w:szCs w:val="28"/>
          <w:highlight w:val="none"/>
          <w:u w:val="single"/>
          <w:lang w:val="en-US" w:eastAsia="zh-CN"/>
        </w:rPr>
        <w:t>供应商入围征集</w:t>
      </w:r>
      <w:r>
        <w:rPr>
          <w:rFonts w:hint="eastAsia" w:ascii="仿宋" w:hAnsi="仿宋" w:eastAsia="仿宋" w:cs="仿宋"/>
          <w:b/>
          <w:bCs/>
          <w:color w:val="auto"/>
          <w:sz w:val="28"/>
          <w:szCs w:val="28"/>
          <w:highlight w:val="none"/>
          <w:u w:val="single"/>
        </w:rPr>
        <w:t>项目</w:t>
      </w:r>
    </w:p>
    <w:p w14:paraId="32BC293D">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48"/>
          <w:szCs w:val="48"/>
          <w:highlight w:val="none"/>
          <w:lang w:val="en-US" w:eastAsia="zh-CN"/>
        </w:rPr>
      </w:pPr>
    </w:p>
    <w:p w14:paraId="2DCA0BEC">
      <w:pPr>
        <w:keepNext w:val="0"/>
        <w:keepLines w:val="0"/>
        <w:pageBreakBefore w:val="0"/>
        <w:widowControl w:val="0"/>
        <w:kinsoku/>
        <w:wordWrap/>
        <w:overflowPunct/>
        <w:topLinePunct w:val="0"/>
        <w:autoSpaceDE/>
        <w:autoSpaceDN/>
        <w:bidi w:val="0"/>
        <w:adjustRightInd/>
        <w:snapToGrid/>
        <w:spacing w:before="313" w:beforeLines="100" w:after="313" w:afterLines="100"/>
        <w:jc w:val="center"/>
        <w:textAlignment w:val="auto"/>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lang w:val="en-US" w:eastAsia="zh-CN"/>
        </w:rPr>
        <w:t>响 应</w:t>
      </w:r>
      <w:r>
        <w:rPr>
          <w:rFonts w:hint="eastAsia" w:ascii="仿宋" w:hAnsi="仿宋" w:eastAsia="仿宋" w:cs="仿宋"/>
          <w:b/>
          <w:bCs/>
          <w:color w:val="auto"/>
          <w:sz w:val="44"/>
          <w:szCs w:val="44"/>
          <w:highlight w:val="none"/>
        </w:rPr>
        <w:t xml:space="preserve"> 文 件</w:t>
      </w:r>
    </w:p>
    <w:p w14:paraId="4D1FD860">
      <w:pPr>
        <w:rPr>
          <w:rFonts w:hint="eastAsia" w:ascii="仿宋" w:hAnsi="仿宋" w:eastAsia="仿宋" w:cs="仿宋"/>
          <w:color w:val="auto"/>
          <w:sz w:val="32"/>
          <w:szCs w:val="32"/>
          <w:highlight w:val="none"/>
        </w:rPr>
      </w:pPr>
    </w:p>
    <w:p w14:paraId="7A508806">
      <w:pPr>
        <w:pStyle w:val="7"/>
        <w:rPr>
          <w:rFonts w:hint="eastAsia" w:ascii="仿宋" w:hAnsi="仿宋" w:eastAsia="仿宋" w:cs="仿宋"/>
          <w:color w:val="auto"/>
          <w:sz w:val="32"/>
          <w:szCs w:val="32"/>
          <w:highlight w:val="none"/>
        </w:rPr>
      </w:pPr>
    </w:p>
    <w:p w14:paraId="0448E8FC">
      <w:pPr>
        <w:rPr>
          <w:rFonts w:hint="eastAsia" w:ascii="仿宋" w:hAnsi="仿宋" w:eastAsia="仿宋" w:cs="仿宋"/>
          <w:color w:val="auto"/>
          <w:sz w:val="32"/>
          <w:szCs w:val="32"/>
          <w:highlight w:val="none"/>
        </w:rPr>
      </w:pPr>
    </w:p>
    <w:p w14:paraId="7C95E046">
      <w:pPr>
        <w:pStyle w:val="7"/>
        <w:rPr>
          <w:rFonts w:hint="eastAsia" w:ascii="仿宋" w:hAnsi="仿宋" w:eastAsia="仿宋" w:cs="仿宋"/>
          <w:color w:val="auto"/>
          <w:sz w:val="32"/>
          <w:szCs w:val="32"/>
          <w:highlight w:val="none"/>
        </w:rPr>
      </w:pPr>
    </w:p>
    <w:p w14:paraId="50D99D70">
      <w:pPr>
        <w:rPr>
          <w:rFonts w:hint="eastAsia" w:ascii="仿宋" w:hAnsi="仿宋" w:eastAsia="仿宋" w:cs="仿宋"/>
          <w:color w:val="auto"/>
          <w:sz w:val="32"/>
          <w:szCs w:val="32"/>
          <w:highlight w:val="none"/>
        </w:rPr>
      </w:pPr>
    </w:p>
    <w:p w14:paraId="7B07F35B">
      <w:pPr>
        <w:rPr>
          <w:rFonts w:hint="eastAsia" w:ascii="仿宋" w:hAnsi="仿宋" w:eastAsia="仿宋" w:cs="仿宋"/>
          <w:color w:val="auto"/>
          <w:sz w:val="32"/>
          <w:szCs w:val="32"/>
          <w:highlight w:val="none"/>
        </w:rPr>
      </w:pPr>
    </w:p>
    <w:p w14:paraId="49B5B46B">
      <w:pPr>
        <w:pStyle w:val="7"/>
        <w:rPr>
          <w:rFonts w:hint="eastAsia" w:ascii="仿宋" w:hAnsi="仿宋" w:eastAsia="仿宋" w:cs="仿宋"/>
          <w:color w:val="auto"/>
          <w:highlight w:val="none"/>
        </w:rPr>
      </w:pPr>
    </w:p>
    <w:p w14:paraId="450D9520">
      <w:pPr>
        <w:rPr>
          <w:rFonts w:hint="eastAsia" w:ascii="仿宋" w:hAnsi="仿宋" w:eastAsia="仿宋" w:cs="仿宋"/>
          <w:color w:val="auto"/>
          <w:highlight w:val="none"/>
        </w:rPr>
      </w:pPr>
    </w:p>
    <w:p w14:paraId="2794DEB9">
      <w:pPr>
        <w:pStyle w:val="7"/>
        <w:jc w:val="both"/>
        <w:rPr>
          <w:rFonts w:hint="eastAsia" w:ascii="仿宋" w:hAnsi="仿宋" w:eastAsia="仿宋" w:cs="仿宋"/>
          <w:color w:val="auto"/>
          <w:highlight w:val="none"/>
          <w:lang w:val="en-US" w:eastAsia="zh-CN"/>
        </w:rPr>
      </w:pPr>
    </w:p>
    <w:p w14:paraId="7DF4649E">
      <w:pPr>
        <w:rPr>
          <w:rFonts w:hint="eastAsia" w:ascii="仿宋" w:hAnsi="仿宋" w:eastAsia="仿宋" w:cs="仿宋"/>
          <w:color w:val="auto"/>
          <w:highlight w:val="none"/>
          <w:lang w:val="en-US" w:eastAsia="zh-CN"/>
        </w:rPr>
      </w:pPr>
    </w:p>
    <w:p w14:paraId="6481BCB6">
      <w:pPr>
        <w:rPr>
          <w:rFonts w:hint="eastAsia" w:ascii="仿宋" w:hAnsi="仿宋" w:eastAsia="仿宋" w:cs="仿宋"/>
          <w:color w:val="auto"/>
          <w:highlight w:val="none"/>
          <w:lang w:val="en-US" w:eastAsia="zh-CN"/>
        </w:rPr>
      </w:pPr>
    </w:p>
    <w:p w14:paraId="22210C2E">
      <w:pPr>
        <w:rPr>
          <w:rFonts w:hint="eastAsia" w:ascii="仿宋" w:hAnsi="仿宋" w:eastAsia="仿宋" w:cs="仿宋"/>
          <w:color w:val="auto"/>
          <w:sz w:val="32"/>
          <w:szCs w:val="32"/>
          <w:highlight w:val="none"/>
        </w:rPr>
      </w:pPr>
    </w:p>
    <w:p w14:paraId="2D5C1456">
      <w:pPr>
        <w:keepNext w:val="0"/>
        <w:keepLines w:val="0"/>
        <w:pageBreakBefore w:val="0"/>
        <w:widowControl w:val="0"/>
        <w:kinsoku/>
        <w:wordWrap/>
        <w:overflowPunct/>
        <w:topLinePunct w:val="0"/>
        <w:autoSpaceDE/>
        <w:autoSpaceDN/>
        <w:bidi w:val="0"/>
        <w:adjustRightInd/>
        <w:snapToGrid/>
        <w:spacing w:after="313" w:afterLines="100" w:line="520" w:lineRule="exact"/>
        <w:ind w:firstLine="420" w:firstLineChars="15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响应</w:t>
      </w:r>
      <w:r>
        <w:rPr>
          <w:rFonts w:hint="eastAsia" w:ascii="仿宋" w:hAnsi="仿宋" w:eastAsia="仿宋" w:cs="仿宋"/>
          <w:color w:val="auto"/>
          <w:sz w:val="28"/>
          <w:szCs w:val="28"/>
          <w:highlight w:val="none"/>
        </w:rPr>
        <w:t>单位名称</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公章</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u w:val="single"/>
        </w:rPr>
        <w:t>　</w:t>
      </w:r>
      <w:r>
        <w:rPr>
          <w:rFonts w:hint="eastAsia" w:ascii="仿宋" w:hAnsi="仿宋" w:eastAsia="仿宋" w:cs="仿宋"/>
          <w:color w:val="auto"/>
          <w:sz w:val="28"/>
          <w:szCs w:val="28"/>
          <w:highlight w:val="none"/>
          <w:u w:val="single"/>
          <w:lang w:val="en-US" w:eastAsia="zh-CN"/>
        </w:rPr>
        <w:t xml:space="preserve">                        </w:t>
      </w:r>
    </w:p>
    <w:p w14:paraId="57C8B3FB">
      <w:pPr>
        <w:keepNext w:val="0"/>
        <w:keepLines w:val="0"/>
        <w:pageBreakBefore w:val="0"/>
        <w:widowControl w:val="0"/>
        <w:kinsoku/>
        <w:wordWrap/>
        <w:overflowPunct/>
        <w:topLinePunct w:val="0"/>
        <w:autoSpaceDE/>
        <w:autoSpaceDN/>
        <w:bidi w:val="0"/>
        <w:adjustRightInd/>
        <w:snapToGrid/>
        <w:spacing w:after="313" w:afterLines="100" w:line="520" w:lineRule="exact"/>
        <w:ind w:firstLine="420" w:firstLineChars="150"/>
        <w:jc w:val="left"/>
        <w:textAlignment w:val="auto"/>
        <w:rPr>
          <w:rFonts w:hint="eastAsia" w:ascii="仿宋" w:hAnsi="仿宋" w:eastAsia="仿宋" w:cs="仿宋"/>
          <w:color w:val="auto"/>
          <w:sz w:val="28"/>
          <w:szCs w:val="28"/>
          <w:highlight w:val="none"/>
          <w:u w:val="single"/>
          <w:lang w:val="en-US" w:eastAsia="zh-CN"/>
        </w:rPr>
      </w:pPr>
      <w:r>
        <w:rPr>
          <w:rFonts w:hint="eastAsia" w:ascii="仿宋" w:hAnsi="仿宋" w:eastAsia="仿宋" w:cs="仿宋"/>
          <w:color w:val="auto"/>
          <w:sz w:val="28"/>
          <w:szCs w:val="28"/>
          <w:highlight w:val="none"/>
        </w:rPr>
        <w:t>法定代表人或其委托代理人</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签名</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u w:val="single"/>
          <w:lang w:val="en-US" w:eastAsia="zh-CN"/>
        </w:rPr>
        <w:t xml:space="preserve">             </w:t>
      </w:r>
    </w:p>
    <w:p w14:paraId="57456C6E">
      <w:pPr>
        <w:keepNext w:val="0"/>
        <w:keepLines w:val="0"/>
        <w:pageBreakBefore w:val="0"/>
        <w:widowControl w:val="0"/>
        <w:kinsoku/>
        <w:wordWrap/>
        <w:overflowPunct/>
        <w:topLinePunct w:val="0"/>
        <w:autoSpaceDE/>
        <w:autoSpaceDN/>
        <w:bidi w:val="0"/>
        <w:adjustRightInd/>
        <w:snapToGrid/>
        <w:spacing w:line="240" w:lineRule="atLeast"/>
        <w:ind w:firstLine="420" w:firstLineChars="15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u w:val="none"/>
          <w:lang w:val="en-US" w:eastAsia="zh-CN"/>
        </w:rPr>
        <w:t>联系电话：</w:t>
      </w:r>
      <w:r>
        <w:rPr>
          <w:rFonts w:hint="eastAsia" w:ascii="仿宋" w:hAnsi="仿宋" w:eastAsia="仿宋" w:cs="仿宋"/>
          <w:color w:val="auto"/>
          <w:sz w:val="28"/>
          <w:szCs w:val="28"/>
          <w:highlight w:val="none"/>
          <w:u w:val="single"/>
          <w:lang w:val="en-US" w:eastAsia="zh-CN"/>
        </w:rPr>
        <w:t xml:space="preserve">                                     </w:t>
      </w:r>
    </w:p>
    <w:p w14:paraId="7157398A">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auto"/>
          <w:sz w:val="28"/>
          <w:szCs w:val="28"/>
          <w:highlight w:val="none"/>
          <w:u w:val="single"/>
          <w:lang w:val="en-US" w:eastAsia="zh-CN"/>
        </w:rPr>
      </w:pPr>
    </w:p>
    <w:p w14:paraId="2C458436">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hint="eastAsia" w:ascii="仿宋" w:hAnsi="仿宋" w:eastAsia="仿宋" w:cs="仿宋"/>
          <w:color w:val="auto"/>
          <w:sz w:val="28"/>
          <w:szCs w:val="28"/>
          <w:highlight w:val="none"/>
          <w:lang w:val="en-US" w:eastAsia="zh-CN"/>
        </w:rPr>
        <w:sectPr>
          <w:pgSz w:w="11907" w:h="16839"/>
          <w:pgMar w:top="1440" w:right="1803" w:bottom="1440" w:left="1803" w:header="851" w:footer="992" w:gutter="0"/>
          <w:cols w:space="720" w:num="1"/>
          <w:docGrid w:linePitch="312" w:charSpace="0"/>
        </w:sectPr>
      </w:pP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年</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月</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日</w:t>
      </w:r>
    </w:p>
    <w:p w14:paraId="42EDBDB8">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72" w:name="授权书格式"/>
      <w:bookmarkEnd w:id="72"/>
      <w:bookmarkStart w:id="73" w:name="_Toc21082"/>
      <w:bookmarkStart w:id="74" w:name="_Toc17828"/>
      <w:r>
        <w:rPr>
          <w:rFonts w:hint="eastAsia" w:ascii="仿宋" w:hAnsi="仿宋" w:eastAsia="仿宋" w:cs="仿宋"/>
          <w:b/>
          <w:color w:val="auto"/>
          <w:sz w:val="30"/>
          <w:szCs w:val="30"/>
          <w:highlight w:val="none"/>
        </w:rPr>
        <w:t>报  价  函</w:t>
      </w:r>
      <w:bookmarkEnd w:id="73"/>
      <w:bookmarkEnd w:id="74"/>
    </w:p>
    <w:p w14:paraId="2E394414">
      <w:pPr>
        <w:spacing w:line="560" w:lineRule="exact"/>
        <w:jc w:val="left"/>
        <w:rPr>
          <w:rFonts w:hint="eastAsia" w:ascii="仿宋" w:hAnsi="仿宋" w:eastAsia="仿宋" w:cs="仿宋"/>
          <w:color w:val="auto"/>
          <w:sz w:val="24"/>
          <w:szCs w:val="24"/>
          <w:highlight w:val="none"/>
        </w:rPr>
      </w:pPr>
      <w:r>
        <w:rPr>
          <w:rFonts w:hint="eastAsia" w:ascii="仿宋" w:hAnsi="仿宋" w:eastAsia="仿宋" w:cs="仿宋"/>
          <w:b/>
          <w:color w:val="auto"/>
          <w:position w:val="-4"/>
          <w:sz w:val="24"/>
          <w:szCs w:val="24"/>
          <w:highlight w:val="none"/>
        </w:rPr>
        <w:t>致：</w:t>
      </w:r>
      <w:r>
        <w:rPr>
          <w:rFonts w:hint="eastAsia" w:ascii="仿宋" w:hAnsi="仿宋" w:eastAsia="仿宋" w:cs="仿宋"/>
          <w:b/>
          <w:color w:val="auto"/>
          <w:spacing w:val="-11"/>
          <w:position w:val="-4"/>
          <w:sz w:val="24"/>
          <w:szCs w:val="24"/>
          <w:highlight w:val="none"/>
          <w:lang w:val="en-US" w:eastAsia="zh-CN"/>
        </w:rPr>
        <w:t>赣州景区建设运营有限公司</w:t>
      </w:r>
    </w:p>
    <w:p w14:paraId="4A6B73D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eastAsia="zh-CN"/>
          <w14:textFill>
            <w14:solidFill>
              <w14:schemeClr w14:val="tx1"/>
            </w14:solidFill>
          </w14:textFill>
        </w:rPr>
        <w:t>1.</w:t>
      </w:r>
      <w:r>
        <w:rPr>
          <w:rFonts w:hint="eastAsia" w:ascii="仿宋" w:hAnsi="仿宋" w:eastAsia="仿宋" w:cs="仿宋"/>
          <w:color w:val="000000" w:themeColor="text1"/>
          <w:sz w:val="24"/>
          <w:szCs w:val="24"/>
          <w:highlight w:val="none"/>
          <w:u w:val="none"/>
          <w14:textFill>
            <w14:solidFill>
              <w14:schemeClr w14:val="tx1"/>
            </w14:solidFill>
          </w14:textFill>
        </w:rPr>
        <w:t>我单位已仔细研究贵公司的《</w:t>
      </w:r>
      <w:r>
        <w:rPr>
          <w:rFonts w:hint="eastAsia" w:ascii="仿宋" w:hAnsi="仿宋" w:eastAsia="仿宋" w:cs="仿宋"/>
          <w:color w:val="auto"/>
          <w:sz w:val="24"/>
          <w:highlight w:val="none"/>
          <w:lang w:eastAsia="zh-CN"/>
        </w:rPr>
        <w:t>赣州景区建设运营有限公司猪肉类产品2026</w:t>
      </w:r>
      <w:r>
        <w:rPr>
          <w:rFonts w:hint="eastAsia" w:ascii="仿宋" w:hAnsi="仿宋" w:eastAsia="仿宋" w:cs="仿宋"/>
          <w:color w:val="auto"/>
          <w:sz w:val="24"/>
          <w:highlight w:val="none"/>
          <w:lang w:val="en-US" w:eastAsia="zh-CN"/>
        </w:rPr>
        <w:t>-2027</w:t>
      </w:r>
      <w:r>
        <w:rPr>
          <w:rFonts w:hint="eastAsia" w:ascii="仿宋" w:hAnsi="仿宋" w:eastAsia="仿宋" w:cs="仿宋"/>
          <w:color w:val="auto"/>
          <w:sz w:val="24"/>
          <w:highlight w:val="none"/>
          <w:lang w:eastAsia="zh-CN"/>
        </w:rPr>
        <w:t>年度框架协议供应商入围征集项目</w:t>
      </w:r>
      <w:r>
        <w:rPr>
          <w:rFonts w:hint="eastAsia" w:ascii="仿宋" w:hAnsi="仿宋" w:eastAsia="仿宋" w:cs="仿宋"/>
          <w:color w:val="000000" w:themeColor="text1"/>
          <w:sz w:val="24"/>
          <w:szCs w:val="24"/>
          <w:highlight w:val="none"/>
          <w:u w:val="none"/>
          <w14:textFill>
            <w14:solidFill>
              <w14:schemeClr w14:val="tx1"/>
            </w14:solidFill>
          </w14:textFill>
        </w:rPr>
        <w:t>》的全部内容，经过认真核算</w:t>
      </w:r>
      <w:r>
        <w:rPr>
          <w:rFonts w:hint="eastAsia" w:ascii="仿宋" w:hAnsi="仿宋" w:eastAsia="仿宋" w:cs="仿宋"/>
          <w:color w:val="000000" w:themeColor="text1"/>
          <w:sz w:val="24"/>
          <w:szCs w:val="24"/>
          <w:highlight w:val="none"/>
          <w:u w:val="none"/>
          <w:lang w:eastAsia="zh-CN"/>
          <w14:textFill>
            <w14:solidFill>
              <w14:schemeClr w14:val="tx1"/>
            </w14:solidFill>
          </w14:textFill>
        </w:rPr>
        <w:t>征集文件</w:t>
      </w:r>
      <w:r>
        <w:rPr>
          <w:rFonts w:hint="eastAsia" w:ascii="仿宋" w:hAnsi="仿宋" w:eastAsia="仿宋" w:cs="仿宋"/>
          <w:color w:val="000000" w:themeColor="text1"/>
          <w:sz w:val="24"/>
          <w:szCs w:val="24"/>
          <w:highlight w:val="none"/>
          <w:u w:val="none"/>
          <w14:textFill>
            <w14:solidFill>
              <w14:schemeClr w14:val="tx1"/>
            </w14:solidFill>
          </w14:textFill>
        </w:rPr>
        <w:t>附件3参考价</w:t>
      </w:r>
      <w:r>
        <w:rPr>
          <w:rFonts w:hint="eastAsia" w:ascii="仿宋" w:hAnsi="仿宋" w:eastAsia="仿宋" w:cs="仿宋"/>
          <w:color w:val="000000" w:themeColor="text1"/>
          <w:sz w:val="24"/>
          <w:szCs w:val="24"/>
          <w:highlight w:val="none"/>
          <w:u w:val="none"/>
          <w:lang w:eastAsia="zh-CN"/>
          <w14:textFill>
            <w14:solidFill>
              <w14:schemeClr w14:val="tx1"/>
            </w14:solidFill>
          </w14:textFill>
        </w:rPr>
        <w:t>，并</w:t>
      </w:r>
      <w:r>
        <w:rPr>
          <w:rFonts w:hint="eastAsia" w:ascii="仿宋" w:hAnsi="仿宋" w:eastAsia="仿宋" w:cs="仿宋"/>
          <w:color w:val="000000" w:themeColor="text1"/>
          <w:sz w:val="24"/>
          <w:szCs w:val="24"/>
          <w:highlight w:val="none"/>
          <w:u w:val="none"/>
          <w14:textFill>
            <w14:solidFill>
              <w14:schemeClr w14:val="tx1"/>
            </w14:solidFill>
          </w14:textFill>
        </w:rPr>
        <w:t>参照自身同一时期供应成本基准价格合理测算后，愿意接受</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征集</w:t>
      </w:r>
      <w:r>
        <w:rPr>
          <w:rFonts w:hint="eastAsia" w:ascii="仿宋" w:hAnsi="仿宋" w:eastAsia="仿宋" w:cs="仿宋"/>
          <w:color w:val="000000" w:themeColor="text1"/>
          <w:sz w:val="24"/>
          <w:szCs w:val="24"/>
          <w:highlight w:val="none"/>
          <w:u w:val="none"/>
          <w14:textFill>
            <w14:solidFill>
              <w14:schemeClr w14:val="tx1"/>
            </w14:solidFill>
          </w14:textFill>
        </w:rPr>
        <w:t>文件所列的全部条件，认同</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征集</w:t>
      </w:r>
      <w:r>
        <w:rPr>
          <w:rFonts w:hint="eastAsia" w:ascii="仿宋" w:hAnsi="仿宋" w:eastAsia="仿宋" w:cs="仿宋"/>
          <w:color w:val="000000" w:themeColor="text1"/>
          <w:sz w:val="24"/>
          <w:szCs w:val="24"/>
          <w:highlight w:val="none"/>
          <w:u w:val="none"/>
          <w14:textFill>
            <w14:solidFill>
              <w14:schemeClr w14:val="tx1"/>
            </w14:solidFill>
          </w14:textFill>
        </w:rPr>
        <w:t>文件的所有内容，愿意以</w:t>
      </w:r>
      <w:r>
        <w:rPr>
          <w:rFonts w:hint="eastAsia" w:ascii="仿宋" w:hAnsi="仿宋" w:eastAsia="仿宋" w:cs="仿宋"/>
          <w:color w:val="000000" w:themeColor="text1"/>
          <w:sz w:val="24"/>
          <w:szCs w:val="24"/>
          <w:highlight w:val="none"/>
          <w:u w:val="none"/>
          <w:lang w:eastAsia="zh-CN"/>
          <w14:textFill>
            <w14:solidFill>
              <w14:schemeClr w14:val="tx1"/>
            </w14:solidFill>
          </w14:textFill>
        </w:rPr>
        <w:t>：</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下浮率响应，发票类型及税率为：</w:t>
      </w:r>
      <w:r>
        <w:rPr>
          <w:rFonts w:hint="eastAsia" w:ascii="仿宋" w:hAns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。按要求完成该项目全部工作，如我单位成交，承诺履行征集文件规定的义务和责任。</w:t>
      </w:r>
    </w:p>
    <w:p w14:paraId="0F1A49B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2.在合同协议书正式签署生效之前，本报价函连同你方的</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ab/>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公示文件将构成我们双方之间共同遵守的文件，对双方具有约束力。</w:t>
      </w:r>
    </w:p>
    <w:p w14:paraId="4409BCC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3. 计算说明</w:t>
      </w:r>
      <w:r>
        <w:rPr>
          <w:rFonts w:hint="eastAsia" w:ascii="仿宋" w:hAnsi="仿宋" w:eastAsia="仿宋" w:cs="仿宋"/>
          <w:b/>
          <w:bCs/>
          <w:color w:val="000000" w:themeColor="text1"/>
          <w:sz w:val="24"/>
          <w:szCs w:val="24"/>
          <w:highlight w:val="none"/>
          <w:u w:val="none"/>
          <w:lang w:val="en-US" w:eastAsia="zh-CN"/>
          <w14:textFill>
            <w14:solidFill>
              <w14:schemeClr w14:val="tx1"/>
            </w14:solidFill>
          </w14:textFill>
        </w:rPr>
        <w:t>（请响应单位自行填写）</w:t>
      </w:r>
    </w:p>
    <w:p w14:paraId="6048C842">
      <w:pPr>
        <w:keepNext w:val="0"/>
        <w:keepLines w:val="0"/>
        <w:pageBreakBefore w:val="0"/>
        <w:widowControl w:val="0"/>
        <w:kinsoku/>
        <w:wordWrap/>
        <w:overflowPunct/>
        <w:topLinePunct w:val="0"/>
        <w:autoSpaceDE/>
        <w:autoSpaceDN/>
        <w:bidi w:val="0"/>
        <w:adjustRightInd/>
        <w:snapToGrid/>
        <w:spacing w:before="0" w:line="500" w:lineRule="exact"/>
        <w:ind w:firstLine="480" w:firstLineChars="200"/>
        <w:textAlignment w:val="auto"/>
        <w:rPr>
          <w:rFonts w:hint="eastAsia" w:ascii="仿宋" w:hAnsi="仿宋" w:eastAsia="仿宋" w:cs="仿宋"/>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例如：序号1五花肉（精品）2026年7月经采购人调查合理市场参考单价为9.75元/斤，固定下浮率为3%，我单位报价下浮率为</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（此处填写段落1所填报的下浮率），则2026年7月结算价格为9.75×（1-3%）×（1-</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元/斤</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w:t>
      </w:r>
    </w:p>
    <w:p w14:paraId="39DA4FE6">
      <w:pPr>
        <w:keepNext w:val="0"/>
        <w:keepLines w:val="0"/>
        <w:pageBreakBefore w:val="0"/>
        <w:widowControl w:val="0"/>
        <w:kinsoku/>
        <w:wordWrap/>
        <w:overflowPunct/>
        <w:topLinePunct w:val="0"/>
        <w:autoSpaceDE/>
        <w:autoSpaceDN/>
        <w:bidi w:val="0"/>
        <w:adjustRightInd/>
        <w:snapToGrid/>
        <w:spacing w:before="0" w:line="500" w:lineRule="exact"/>
        <w:ind w:firstLine="480" w:firstLineChars="200"/>
        <w:textAlignment w:val="auto"/>
        <w:rPr>
          <w:rFonts w:hint="eastAsia" w:ascii="仿宋" w:hAnsi="仿宋" w:eastAsia="仿宋" w:cs="仿宋"/>
          <w:color w:val="auto"/>
          <w:sz w:val="24"/>
          <w:szCs w:val="24"/>
          <w:highlight w:val="yellow"/>
        </w:rPr>
      </w:pP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2026-2027年度供应期间每月合理市场价以采购人市场调查结果进行调整，固定下浮率3%以及我单位报价下浮率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u w:val="none"/>
          <w:lang w:val="en-US" w:eastAsia="zh-CN"/>
          <w14:textFill>
            <w14:solidFill>
              <w14:schemeClr w14:val="tx1"/>
            </w14:solidFill>
          </w14:textFill>
        </w:rPr>
        <w:t>（此处填写段落1所填报的下浮率）不再调整。</w:t>
      </w:r>
    </w:p>
    <w:p w14:paraId="2F14D23F">
      <w:pPr>
        <w:keepNext w:val="0"/>
        <w:keepLines w:val="0"/>
        <w:pageBreakBefore w:val="0"/>
        <w:widowControl w:val="0"/>
        <w:tabs>
          <w:tab w:val="left" w:pos="7460"/>
          <w:tab w:val="left" w:pos="8080"/>
          <w:tab w:val="left" w:pos="8800"/>
        </w:tabs>
        <w:kinsoku/>
        <w:wordWrap/>
        <w:overflowPunct/>
        <w:topLinePunct w:val="0"/>
        <w:autoSpaceDE w:val="0"/>
        <w:autoSpaceDN w:val="0"/>
        <w:bidi w:val="0"/>
        <w:adjustRightInd w:val="0"/>
        <w:snapToGrid/>
        <w:spacing w:line="560" w:lineRule="exact"/>
        <w:ind w:left="3640" w:leftChars="1400" w:right="61"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响应单位（</w:t>
      </w:r>
      <w:r>
        <w:rPr>
          <w:rFonts w:hint="eastAsia" w:ascii="仿宋" w:hAnsi="仿宋" w:eastAsia="仿宋" w:cs="仿宋"/>
          <w:color w:val="auto"/>
          <w:sz w:val="24"/>
          <w:highlight w:val="none"/>
          <w:lang w:val="en-US" w:eastAsia="zh-CN"/>
        </w:rPr>
        <w:t>公章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138B0631">
      <w:pPr>
        <w:keepNext w:val="0"/>
        <w:keepLines w:val="0"/>
        <w:pageBreakBefore w:val="0"/>
        <w:widowControl w:val="0"/>
        <w:tabs>
          <w:tab w:val="left" w:pos="7455"/>
          <w:tab w:val="left" w:pos="8080"/>
          <w:tab w:val="left" w:pos="8800"/>
        </w:tabs>
        <w:kinsoku/>
        <w:wordWrap/>
        <w:overflowPunct/>
        <w:topLinePunct w:val="0"/>
        <w:autoSpaceDE w:val="0"/>
        <w:autoSpaceDN w:val="0"/>
        <w:bidi w:val="0"/>
        <w:adjustRightInd w:val="0"/>
        <w:snapToGrid/>
        <w:spacing w:line="560" w:lineRule="exact"/>
        <w:ind w:left="3640" w:leftChars="1400" w:right="61"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法定代表人或其委托代理人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签名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p>
    <w:p w14:paraId="0F0B55E9">
      <w:pPr>
        <w:keepNext w:val="0"/>
        <w:keepLines w:val="0"/>
        <w:pageBreakBefore w:val="0"/>
        <w:widowControl w:val="0"/>
        <w:kinsoku/>
        <w:wordWrap/>
        <w:overflowPunct/>
        <w:topLinePunct w:val="0"/>
        <w:bidi w:val="0"/>
        <w:snapToGrid/>
        <w:spacing w:line="560" w:lineRule="exact"/>
        <w:ind w:left="3640" w:leftChars="1400" w:hanging="280" w:hangingChars="117"/>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5F7650DB">
      <w:pPr>
        <w:rPr>
          <w:rFonts w:hint="eastAsia" w:ascii="仿宋" w:hAnsi="仿宋" w:eastAsia="仿宋" w:cs="仿宋"/>
          <w:color w:val="auto"/>
          <w:sz w:val="24"/>
          <w:highlight w:val="none"/>
        </w:rPr>
      </w:pPr>
    </w:p>
    <w:p w14:paraId="2C3CDED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注：1</w:t>
      </w:r>
      <w:r>
        <w:rPr>
          <w:rFonts w:hint="eastAsia" w:ascii="仿宋" w:hAnsi="仿宋" w:eastAsia="仿宋" w:cs="仿宋"/>
          <w:b/>
          <w:bCs/>
          <w:color w:val="auto"/>
          <w:sz w:val="24"/>
          <w:szCs w:val="24"/>
          <w:highlight w:val="none"/>
          <w:lang w:val="en-US" w:eastAsia="zh-CN"/>
        </w:rPr>
        <w:t>.总价</w:t>
      </w:r>
      <w:r>
        <w:rPr>
          <w:rFonts w:hint="eastAsia" w:ascii="仿宋" w:hAnsi="仿宋" w:eastAsia="仿宋" w:cs="仿宋"/>
          <w:b/>
          <w:bCs/>
          <w:color w:val="auto"/>
          <w:sz w:val="24"/>
          <w:szCs w:val="24"/>
          <w:highlight w:val="none"/>
        </w:rPr>
        <w:t>包含运费、税金、利润等为完成本项目所有内容的</w:t>
      </w:r>
      <w:r>
        <w:rPr>
          <w:rFonts w:hint="eastAsia" w:ascii="仿宋" w:hAnsi="仿宋" w:eastAsia="仿宋" w:cs="仿宋"/>
          <w:b/>
          <w:bCs/>
          <w:color w:val="auto"/>
          <w:sz w:val="24"/>
          <w:szCs w:val="24"/>
          <w:highlight w:val="none"/>
          <w:lang w:val="en-US" w:eastAsia="zh-CN"/>
        </w:rPr>
        <w:t>一切费用</w:t>
      </w:r>
      <w:r>
        <w:rPr>
          <w:rFonts w:hint="eastAsia" w:ascii="仿宋" w:hAnsi="仿宋" w:eastAsia="仿宋" w:cs="仿宋"/>
          <w:b/>
          <w:bCs/>
          <w:color w:val="auto"/>
          <w:sz w:val="24"/>
          <w:szCs w:val="24"/>
          <w:highlight w:val="none"/>
        </w:rPr>
        <w:t>。</w:t>
      </w:r>
    </w:p>
    <w:p w14:paraId="23FAA8D2">
      <w:pPr>
        <w:keepNext w:val="0"/>
        <w:keepLines w:val="0"/>
        <w:pageBreakBefore w:val="0"/>
        <w:widowControl w:val="0"/>
        <w:kinsoku/>
        <w:wordWrap/>
        <w:overflowPunct/>
        <w:topLinePunct w:val="0"/>
        <w:autoSpaceDE/>
        <w:autoSpaceDN/>
        <w:bidi w:val="0"/>
        <w:adjustRightInd/>
        <w:snapToGrid/>
        <w:spacing w:line="240" w:lineRule="auto"/>
        <w:ind w:left="480" w:leftChars="200" w:firstLine="0" w:firstLineChars="0"/>
        <w:textAlignment w:val="auto"/>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2.本次采购为</w:t>
      </w:r>
      <w:r>
        <w:rPr>
          <w:rFonts w:hint="eastAsia" w:ascii="仿宋" w:hAnsi="仿宋" w:eastAsia="仿宋" w:cs="仿宋"/>
          <w:b/>
          <w:bCs/>
          <w:color w:val="auto"/>
          <w:sz w:val="24"/>
          <w:szCs w:val="24"/>
          <w:highlight w:val="none"/>
          <w:lang w:val="en-US" w:eastAsia="zh-CN"/>
        </w:rPr>
        <w:t>赣州景区建设运营有限公司</w:t>
      </w:r>
      <w:r>
        <w:rPr>
          <w:rFonts w:hint="eastAsia" w:ascii="仿宋" w:hAnsi="仿宋" w:eastAsia="仿宋" w:cs="仿宋"/>
          <w:b/>
          <w:bCs/>
          <w:color w:val="auto"/>
          <w:sz w:val="24"/>
          <w:szCs w:val="24"/>
          <w:highlight w:val="none"/>
          <w:lang w:eastAsia="zh-CN"/>
        </w:rPr>
        <w:t>经营性采购，为避免因进项税额不足以抵扣销项税额而可能产生的亏损，如中标人系小规模纳税人，采购人将在不含税采购价的基础上，于付款时扣除因进项税额不足所导致的税负损失。具体计算公式为：扣除金额 = 不含税采购价 ×（一般纳税人适用税率 – 小规模纳税人适用税率）×（1 + 采购人附加税率）。请各小规模纳税人综合测算后，在报价中进行下浮响应。</w:t>
      </w:r>
    </w:p>
    <w:p w14:paraId="2FE26398">
      <w:pPr>
        <w:keepNext w:val="0"/>
        <w:keepLines w:val="0"/>
        <w:pageBreakBefore w:val="0"/>
        <w:widowControl w:val="0"/>
        <w:kinsoku/>
        <w:wordWrap/>
        <w:overflowPunct/>
        <w:topLinePunct w:val="0"/>
        <w:autoSpaceDE/>
        <w:autoSpaceDN/>
        <w:bidi w:val="0"/>
        <w:adjustRightInd/>
        <w:snapToGrid/>
        <w:spacing w:line="240" w:lineRule="auto"/>
        <w:ind w:firstLine="880" w:firstLineChars="400"/>
        <w:textAlignment w:val="auto"/>
        <w:rPr>
          <w:rFonts w:hint="eastAsia" w:ascii="仿宋" w:hAnsi="仿宋" w:eastAsia="仿宋" w:cs="仿宋"/>
          <w:color w:val="auto"/>
          <w:sz w:val="22"/>
          <w:highlight w:val="none"/>
        </w:rPr>
      </w:pPr>
      <w:r>
        <w:rPr>
          <w:rFonts w:hint="eastAsia" w:ascii="仿宋" w:hAnsi="仿宋" w:eastAsia="仿宋" w:cs="仿宋"/>
          <w:color w:val="auto"/>
          <w:sz w:val="22"/>
          <w:highlight w:val="none"/>
        </w:rPr>
        <w:br w:type="page"/>
      </w:r>
    </w:p>
    <w:p w14:paraId="08FEBF25">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75" w:name="_Toc18850"/>
      <w:bookmarkStart w:id="76" w:name="_Toc19839"/>
      <w:bookmarkStart w:id="77" w:name="_Toc13618_WPSOffice_Level1"/>
      <w:bookmarkStart w:id="78" w:name="_Toc21864"/>
      <w:bookmarkStart w:id="79" w:name="_Toc2011"/>
      <w:r>
        <w:rPr>
          <w:rFonts w:hint="eastAsia" w:ascii="仿宋" w:hAnsi="仿宋" w:eastAsia="仿宋" w:cs="仿宋"/>
          <w:b/>
          <w:color w:val="auto"/>
          <w:sz w:val="30"/>
          <w:szCs w:val="30"/>
          <w:highlight w:val="none"/>
        </w:rPr>
        <w:t>资格审查资料</w:t>
      </w:r>
      <w:bookmarkEnd w:id="75"/>
      <w:bookmarkEnd w:id="76"/>
      <w:bookmarkEnd w:id="77"/>
      <w:bookmarkEnd w:id="78"/>
      <w:bookmarkEnd w:id="79"/>
    </w:p>
    <w:p w14:paraId="4CCBBEC3">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80" w:name="_Toc29052_WPSOffice_Level3"/>
      <w:bookmarkStart w:id="81" w:name="_Toc30669_WPSOffice_Level2"/>
      <w:bookmarkStart w:id="82" w:name="_Toc7743_WPSOffice_Level2"/>
      <w:bookmarkStart w:id="83" w:name="_Toc12555"/>
      <w:bookmarkStart w:id="84" w:name="_Toc23167"/>
      <w:bookmarkStart w:id="85" w:name="_Toc27781_WPSOffice_Level2"/>
      <w:bookmarkStart w:id="86" w:name="_Toc25471_WPSOffice_Level2"/>
      <w:bookmarkStart w:id="87" w:name="_Toc3188"/>
      <w:bookmarkStart w:id="88" w:name="_Toc29786"/>
      <w:bookmarkStart w:id="89" w:name="_Toc11766"/>
      <w:r>
        <w:rPr>
          <w:rFonts w:hint="eastAsia" w:ascii="仿宋" w:hAnsi="仿宋" w:eastAsia="仿宋" w:cs="仿宋"/>
          <w:b/>
          <w:color w:val="auto"/>
          <w:sz w:val="30"/>
          <w:szCs w:val="30"/>
          <w:highlight w:val="none"/>
        </w:rPr>
        <w:t>（一）公司基本情况一览表</w:t>
      </w:r>
      <w:bookmarkEnd w:id="80"/>
      <w:bookmarkEnd w:id="81"/>
      <w:bookmarkEnd w:id="82"/>
      <w:bookmarkEnd w:id="83"/>
      <w:bookmarkEnd w:id="84"/>
      <w:bookmarkEnd w:id="85"/>
      <w:bookmarkEnd w:id="86"/>
      <w:bookmarkEnd w:id="87"/>
      <w:bookmarkEnd w:id="88"/>
      <w:bookmarkEnd w:id="89"/>
    </w:p>
    <w:tbl>
      <w:tblPr>
        <w:tblStyle w:val="23"/>
        <w:tblW w:w="8256" w:type="dxa"/>
        <w:tblInd w:w="13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25"/>
        <w:gridCol w:w="2436"/>
        <w:gridCol w:w="1719"/>
        <w:gridCol w:w="2376"/>
      </w:tblGrid>
      <w:tr w14:paraId="1D45A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6656E7F4">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企业名称</w:t>
            </w:r>
          </w:p>
        </w:tc>
        <w:tc>
          <w:tcPr>
            <w:tcW w:w="2436" w:type="dxa"/>
            <w:tcBorders>
              <w:top w:val="single" w:color="auto" w:sz="6" w:space="0"/>
              <w:left w:val="single" w:color="auto" w:sz="6" w:space="0"/>
              <w:bottom w:val="single" w:color="auto" w:sz="6" w:space="0"/>
              <w:right w:val="single" w:color="auto" w:sz="6" w:space="0"/>
            </w:tcBorders>
            <w:vAlign w:val="center"/>
          </w:tcPr>
          <w:p w14:paraId="6AFF28B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4C05C4F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成立日期</w:t>
            </w:r>
          </w:p>
        </w:tc>
        <w:tc>
          <w:tcPr>
            <w:tcW w:w="2376" w:type="dxa"/>
            <w:tcBorders>
              <w:top w:val="single" w:color="auto" w:sz="6" w:space="0"/>
              <w:left w:val="single" w:color="auto" w:sz="6" w:space="0"/>
              <w:bottom w:val="single" w:color="auto" w:sz="6" w:space="0"/>
              <w:right w:val="single" w:color="auto" w:sz="6" w:space="0"/>
            </w:tcBorders>
            <w:vAlign w:val="center"/>
          </w:tcPr>
          <w:p w14:paraId="56DEF30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CB167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52F3462C">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注册资本</w:t>
            </w:r>
          </w:p>
        </w:tc>
        <w:tc>
          <w:tcPr>
            <w:tcW w:w="2436" w:type="dxa"/>
            <w:tcBorders>
              <w:top w:val="single" w:color="auto" w:sz="6" w:space="0"/>
              <w:left w:val="single" w:color="auto" w:sz="6" w:space="0"/>
              <w:bottom w:val="single" w:color="auto" w:sz="6" w:space="0"/>
              <w:right w:val="single" w:color="auto" w:sz="6" w:space="0"/>
            </w:tcBorders>
            <w:vAlign w:val="center"/>
          </w:tcPr>
          <w:p w14:paraId="36425160">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144D3579">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企业类型</w:t>
            </w:r>
          </w:p>
        </w:tc>
        <w:tc>
          <w:tcPr>
            <w:tcW w:w="2376" w:type="dxa"/>
            <w:tcBorders>
              <w:top w:val="single" w:color="auto" w:sz="6" w:space="0"/>
              <w:left w:val="single" w:color="auto" w:sz="6" w:space="0"/>
              <w:bottom w:val="single" w:color="auto" w:sz="6" w:space="0"/>
              <w:right w:val="single" w:color="auto" w:sz="6" w:space="0"/>
            </w:tcBorders>
            <w:vAlign w:val="center"/>
          </w:tcPr>
          <w:p w14:paraId="08B7F77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457C66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90" w:hRule="atLeast"/>
        </w:trPr>
        <w:tc>
          <w:tcPr>
            <w:tcW w:w="1725" w:type="dxa"/>
            <w:tcBorders>
              <w:top w:val="single" w:color="auto" w:sz="6" w:space="0"/>
              <w:left w:val="single" w:color="auto" w:sz="6" w:space="0"/>
              <w:bottom w:val="single" w:color="auto" w:sz="6" w:space="0"/>
              <w:right w:val="single" w:color="auto" w:sz="6" w:space="0"/>
            </w:tcBorders>
            <w:vAlign w:val="center"/>
          </w:tcPr>
          <w:p w14:paraId="29DB126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批准登记机关</w:t>
            </w:r>
          </w:p>
        </w:tc>
        <w:tc>
          <w:tcPr>
            <w:tcW w:w="2436" w:type="dxa"/>
            <w:tcBorders>
              <w:top w:val="single" w:color="auto" w:sz="6" w:space="0"/>
              <w:left w:val="single" w:color="auto" w:sz="6" w:space="0"/>
              <w:bottom w:val="single" w:color="auto" w:sz="6" w:space="0"/>
              <w:right w:val="single" w:color="auto" w:sz="6" w:space="0"/>
            </w:tcBorders>
            <w:vAlign w:val="center"/>
          </w:tcPr>
          <w:p w14:paraId="3CB6D1FC">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5605B5F7">
            <w:pPr>
              <w:spacing w:line="360" w:lineRule="auto"/>
              <w:jc w:val="center"/>
              <w:rPr>
                <w:rFonts w:hint="eastAsia" w:ascii="仿宋" w:hAnsi="仿宋" w:eastAsia="仿宋" w:cs="仿宋"/>
                <w:color w:val="000000" w:themeColor="text1"/>
                <w:highlight w:val="none"/>
                <w:u w:val="none"/>
                <w:lang w:eastAsia="zh-CN"/>
                <w14:textFill>
                  <w14:solidFill>
                    <w14:schemeClr w14:val="tx1"/>
                  </w14:solidFill>
                </w14:textFill>
              </w:rPr>
            </w:pPr>
            <w:r>
              <w:rPr>
                <w:rFonts w:hint="eastAsia" w:ascii="仿宋" w:hAnsi="仿宋" w:eastAsia="仿宋" w:cs="仿宋"/>
                <w:color w:val="000000" w:themeColor="text1"/>
                <w:highlight w:val="none"/>
                <w:u w:val="none"/>
                <w:lang w:val="en-US" w:eastAsia="zh-CN"/>
                <w14:textFill>
                  <w14:solidFill>
                    <w14:schemeClr w14:val="tx1"/>
                  </w14:solidFill>
                </w14:textFill>
              </w:rPr>
              <w:t>统一社会信用代码</w:t>
            </w:r>
          </w:p>
        </w:tc>
        <w:tc>
          <w:tcPr>
            <w:tcW w:w="2376" w:type="dxa"/>
            <w:tcBorders>
              <w:top w:val="single" w:color="auto" w:sz="6" w:space="0"/>
              <w:left w:val="single" w:color="auto" w:sz="6" w:space="0"/>
              <w:bottom w:val="single" w:color="auto" w:sz="6" w:space="0"/>
              <w:right w:val="single" w:color="auto" w:sz="6" w:space="0"/>
            </w:tcBorders>
            <w:vAlign w:val="center"/>
          </w:tcPr>
          <w:p w14:paraId="6DDFB6C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EB6C4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75E9861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法定代表人</w:t>
            </w:r>
          </w:p>
        </w:tc>
        <w:tc>
          <w:tcPr>
            <w:tcW w:w="2436" w:type="dxa"/>
            <w:tcBorders>
              <w:top w:val="single" w:color="auto" w:sz="6" w:space="0"/>
              <w:left w:val="single" w:color="auto" w:sz="6" w:space="0"/>
              <w:bottom w:val="single" w:color="auto" w:sz="6" w:space="0"/>
              <w:right w:val="single" w:color="auto" w:sz="6" w:space="0"/>
            </w:tcBorders>
            <w:vAlign w:val="center"/>
          </w:tcPr>
          <w:p w14:paraId="76B3D54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026D563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营业期限</w:t>
            </w:r>
          </w:p>
        </w:tc>
        <w:tc>
          <w:tcPr>
            <w:tcW w:w="2376" w:type="dxa"/>
            <w:tcBorders>
              <w:top w:val="single" w:color="auto" w:sz="6" w:space="0"/>
              <w:left w:val="single" w:color="auto" w:sz="6" w:space="0"/>
              <w:bottom w:val="single" w:color="auto" w:sz="6" w:space="0"/>
              <w:right w:val="single" w:color="auto" w:sz="6" w:space="0"/>
            </w:tcBorders>
            <w:vAlign w:val="center"/>
          </w:tcPr>
          <w:p w14:paraId="6649AD9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46392F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0F426A0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资质类型</w:t>
            </w:r>
          </w:p>
        </w:tc>
        <w:tc>
          <w:tcPr>
            <w:tcW w:w="2436" w:type="dxa"/>
            <w:tcBorders>
              <w:top w:val="single" w:color="auto" w:sz="6" w:space="0"/>
              <w:left w:val="single" w:color="auto" w:sz="6" w:space="0"/>
              <w:bottom w:val="single" w:color="auto" w:sz="6" w:space="0"/>
              <w:right w:val="single" w:color="auto" w:sz="6" w:space="0"/>
            </w:tcBorders>
            <w:vAlign w:val="center"/>
          </w:tcPr>
          <w:p w14:paraId="3E87F213">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30095432">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资质等级</w:t>
            </w:r>
          </w:p>
        </w:tc>
        <w:tc>
          <w:tcPr>
            <w:tcW w:w="2376" w:type="dxa"/>
            <w:tcBorders>
              <w:top w:val="single" w:color="auto" w:sz="6" w:space="0"/>
              <w:left w:val="single" w:color="auto" w:sz="6" w:space="0"/>
              <w:bottom w:val="single" w:color="auto" w:sz="6" w:space="0"/>
              <w:right w:val="single" w:color="auto" w:sz="6" w:space="0"/>
            </w:tcBorders>
            <w:vAlign w:val="center"/>
          </w:tcPr>
          <w:p w14:paraId="286F45E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6DFA44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291" w:hRule="atLeast"/>
        </w:trPr>
        <w:tc>
          <w:tcPr>
            <w:tcW w:w="1725" w:type="dxa"/>
            <w:tcBorders>
              <w:top w:val="single" w:color="auto" w:sz="6" w:space="0"/>
              <w:left w:val="single" w:color="auto" w:sz="6" w:space="0"/>
              <w:bottom w:val="single" w:color="auto" w:sz="6" w:space="0"/>
              <w:right w:val="single" w:color="auto" w:sz="6" w:space="0"/>
            </w:tcBorders>
            <w:vAlign w:val="center"/>
          </w:tcPr>
          <w:p w14:paraId="62DD5684">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主营业务</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47B563A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5886D5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5CB17AD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地址</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113A004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AFC5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0B33F44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开户银行</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555CDAC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70AFD5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7" w:hRule="atLeast"/>
        </w:trPr>
        <w:tc>
          <w:tcPr>
            <w:tcW w:w="1725" w:type="dxa"/>
            <w:tcBorders>
              <w:top w:val="single" w:color="auto" w:sz="6" w:space="0"/>
              <w:left w:val="single" w:color="auto" w:sz="6" w:space="0"/>
              <w:bottom w:val="single" w:color="auto" w:sz="6" w:space="0"/>
              <w:right w:val="single" w:color="auto" w:sz="6" w:space="0"/>
            </w:tcBorders>
            <w:vAlign w:val="center"/>
          </w:tcPr>
          <w:p w14:paraId="5D9403A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开户行号</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737BDECB">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167DA2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9" w:hRule="atLeast"/>
        </w:trPr>
        <w:tc>
          <w:tcPr>
            <w:tcW w:w="1725" w:type="dxa"/>
            <w:tcBorders>
              <w:top w:val="single" w:color="auto" w:sz="6" w:space="0"/>
              <w:left w:val="single" w:color="auto" w:sz="6" w:space="0"/>
              <w:bottom w:val="single" w:color="auto" w:sz="6" w:space="0"/>
              <w:right w:val="single" w:color="auto" w:sz="6" w:space="0"/>
            </w:tcBorders>
            <w:vAlign w:val="center"/>
          </w:tcPr>
          <w:p w14:paraId="7A8AE276">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银行账号</w:t>
            </w:r>
          </w:p>
        </w:tc>
        <w:tc>
          <w:tcPr>
            <w:tcW w:w="6531" w:type="dxa"/>
            <w:gridSpan w:val="3"/>
            <w:tcBorders>
              <w:top w:val="single" w:color="auto" w:sz="6" w:space="0"/>
              <w:left w:val="single" w:color="auto" w:sz="6" w:space="0"/>
              <w:bottom w:val="single" w:color="auto" w:sz="6" w:space="0"/>
              <w:right w:val="single" w:color="auto" w:sz="6" w:space="0"/>
            </w:tcBorders>
            <w:vAlign w:val="center"/>
          </w:tcPr>
          <w:p w14:paraId="5F8CC7F8">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3D8F34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725" w:type="dxa"/>
            <w:tcBorders>
              <w:top w:val="single" w:color="auto" w:sz="6" w:space="0"/>
              <w:left w:val="single" w:color="auto" w:sz="6" w:space="0"/>
              <w:bottom w:val="single" w:color="auto" w:sz="6" w:space="0"/>
              <w:right w:val="single" w:color="auto" w:sz="6" w:space="0"/>
            </w:tcBorders>
            <w:vAlign w:val="center"/>
          </w:tcPr>
          <w:p w14:paraId="43228DE1">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电话</w:t>
            </w:r>
          </w:p>
        </w:tc>
        <w:tc>
          <w:tcPr>
            <w:tcW w:w="2436" w:type="dxa"/>
            <w:tcBorders>
              <w:top w:val="single" w:color="auto" w:sz="6" w:space="0"/>
              <w:left w:val="single" w:color="auto" w:sz="6" w:space="0"/>
              <w:bottom w:val="single" w:color="auto" w:sz="6" w:space="0"/>
              <w:right w:val="single" w:color="auto" w:sz="6" w:space="0"/>
            </w:tcBorders>
            <w:vAlign w:val="center"/>
          </w:tcPr>
          <w:p w14:paraId="2960EFA7">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0E0EF4E3">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传真</w:t>
            </w:r>
          </w:p>
        </w:tc>
        <w:tc>
          <w:tcPr>
            <w:tcW w:w="2376" w:type="dxa"/>
            <w:tcBorders>
              <w:top w:val="single" w:color="auto" w:sz="6" w:space="0"/>
              <w:left w:val="single" w:color="auto" w:sz="6" w:space="0"/>
              <w:bottom w:val="single" w:color="auto" w:sz="6" w:space="0"/>
              <w:right w:val="single" w:color="auto" w:sz="6" w:space="0"/>
            </w:tcBorders>
            <w:vAlign w:val="center"/>
          </w:tcPr>
          <w:p w14:paraId="338F883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3A252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2" w:hRule="atLeast"/>
        </w:trPr>
        <w:tc>
          <w:tcPr>
            <w:tcW w:w="1725" w:type="dxa"/>
            <w:tcBorders>
              <w:top w:val="single" w:color="auto" w:sz="6" w:space="0"/>
              <w:left w:val="single" w:color="auto" w:sz="6" w:space="0"/>
              <w:bottom w:val="single" w:color="auto" w:sz="6" w:space="0"/>
              <w:right w:val="single" w:color="auto" w:sz="6" w:space="0"/>
            </w:tcBorders>
            <w:vAlign w:val="center"/>
          </w:tcPr>
          <w:p w14:paraId="02AD8201">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邮箱</w:t>
            </w:r>
          </w:p>
        </w:tc>
        <w:tc>
          <w:tcPr>
            <w:tcW w:w="2436" w:type="dxa"/>
            <w:tcBorders>
              <w:top w:val="single" w:color="auto" w:sz="6" w:space="0"/>
              <w:left w:val="single" w:color="auto" w:sz="6" w:space="0"/>
              <w:bottom w:val="single" w:color="auto" w:sz="6" w:space="0"/>
              <w:right w:val="single" w:color="auto" w:sz="6" w:space="0"/>
            </w:tcBorders>
            <w:vAlign w:val="center"/>
          </w:tcPr>
          <w:p w14:paraId="3655282B">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12C87597">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邮编</w:t>
            </w:r>
          </w:p>
        </w:tc>
        <w:tc>
          <w:tcPr>
            <w:tcW w:w="2376" w:type="dxa"/>
            <w:tcBorders>
              <w:top w:val="single" w:color="auto" w:sz="6" w:space="0"/>
              <w:left w:val="single" w:color="auto" w:sz="6" w:space="0"/>
              <w:bottom w:val="single" w:color="auto" w:sz="6" w:space="0"/>
              <w:right w:val="single" w:color="auto" w:sz="6" w:space="0"/>
            </w:tcBorders>
            <w:vAlign w:val="center"/>
          </w:tcPr>
          <w:p w14:paraId="71A46DFA">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r w14:paraId="0CB688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20" w:hRule="atLeast"/>
        </w:trPr>
        <w:tc>
          <w:tcPr>
            <w:tcW w:w="1725" w:type="dxa"/>
            <w:tcBorders>
              <w:top w:val="single" w:color="auto" w:sz="6" w:space="0"/>
              <w:left w:val="single" w:color="auto" w:sz="6" w:space="0"/>
              <w:bottom w:val="single" w:color="auto" w:sz="6" w:space="0"/>
              <w:right w:val="single" w:color="auto" w:sz="6" w:space="0"/>
            </w:tcBorders>
            <w:vAlign w:val="center"/>
          </w:tcPr>
          <w:p w14:paraId="0B7B01BE">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联系人</w:t>
            </w:r>
          </w:p>
        </w:tc>
        <w:tc>
          <w:tcPr>
            <w:tcW w:w="2436" w:type="dxa"/>
            <w:tcBorders>
              <w:top w:val="single" w:color="auto" w:sz="6" w:space="0"/>
              <w:left w:val="single" w:color="auto" w:sz="6" w:space="0"/>
              <w:bottom w:val="single" w:color="auto" w:sz="6" w:space="0"/>
              <w:right w:val="single" w:color="auto" w:sz="6" w:space="0"/>
            </w:tcBorders>
            <w:vAlign w:val="center"/>
          </w:tcPr>
          <w:p w14:paraId="13D57AE5">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c>
          <w:tcPr>
            <w:tcW w:w="1719" w:type="dxa"/>
            <w:tcBorders>
              <w:top w:val="single" w:color="auto" w:sz="6" w:space="0"/>
              <w:left w:val="single" w:color="auto" w:sz="6" w:space="0"/>
              <w:bottom w:val="single" w:color="auto" w:sz="6" w:space="0"/>
              <w:right w:val="single" w:color="auto" w:sz="6" w:space="0"/>
            </w:tcBorders>
            <w:vAlign w:val="center"/>
          </w:tcPr>
          <w:p w14:paraId="60D4D68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联系方式</w:t>
            </w:r>
          </w:p>
        </w:tc>
        <w:tc>
          <w:tcPr>
            <w:tcW w:w="2376" w:type="dxa"/>
            <w:tcBorders>
              <w:top w:val="single" w:color="auto" w:sz="6" w:space="0"/>
              <w:left w:val="single" w:color="auto" w:sz="6" w:space="0"/>
              <w:bottom w:val="single" w:color="auto" w:sz="6" w:space="0"/>
              <w:right w:val="single" w:color="auto" w:sz="6" w:space="0"/>
            </w:tcBorders>
            <w:vAlign w:val="center"/>
          </w:tcPr>
          <w:p w14:paraId="37E2E98F">
            <w:pPr>
              <w:spacing w:line="360" w:lineRule="auto"/>
              <w:jc w:val="center"/>
              <w:rPr>
                <w:rFonts w:hint="eastAsia" w:ascii="仿宋" w:hAnsi="仿宋" w:eastAsia="仿宋" w:cs="仿宋"/>
                <w:color w:val="000000" w:themeColor="text1"/>
                <w:highlight w:val="none"/>
                <w:u w:val="none"/>
                <w14:textFill>
                  <w14:solidFill>
                    <w14:schemeClr w14:val="tx1"/>
                  </w14:solidFill>
                </w14:textFill>
              </w:rPr>
            </w:pPr>
          </w:p>
        </w:tc>
      </w:tr>
    </w:tbl>
    <w:p w14:paraId="40BD6B47">
      <w:pPr>
        <w:jc w:val="both"/>
        <w:outlineLvl w:val="1"/>
        <w:rPr>
          <w:rFonts w:hint="eastAsia" w:ascii="宋体" w:hAnsi="宋体" w:cs="宋体"/>
          <w:b/>
          <w:bCs/>
          <w:color w:val="000000" w:themeColor="text1"/>
          <w:sz w:val="28"/>
          <w:szCs w:val="28"/>
          <w:highlight w:val="none"/>
          <w:u w:val="none"/>
          <w14:textFill>
            <w14:solidFill>
              <w14:schemeClr w14:val="tx1"/>
            </w14:solidFill>
          </w14:textFill>
        </w:rPr>
      </w:pPr>
      <w:bookmarkStart w:id="90" w:name="_Toc9084_WPSOffice_Level2"/>
      <w:bookmarkStart w:id="91" w:name="_Toc15100_WPSOffice_Level2"/>
      <w:bookmarkStart w:id="92" w:name="_Toc16007_WPSOffice_Level2"/>
      <w:bookmarkStart w:id="93" w:name="_Toc1797"/>
      <w:bookmarkStart w:id="94" w:name="_Toc26908"/>
      <w:bookmarkStart w:id="95" w:name="_Toc1852"/>
      <w:bookmarkStart w:id="96" w:name="_Toc9797_WPSOffice_Level2"/>
      <w:bookmarkStart w:id="97" w:name="_Toc19438_WPSOffice_Level2"/>
      <w:bookmarkStart w:id="98" w:name="_Toc4655"/>
      <w:bookmarkStart w:id="99" w:name="_Toc13231"/>
      <w:bookmarkStart w:id="100" w:name="_Toc886_WPSOffice_Level2"/>
      <w:bookmarkStart w:id="101" w:name="_Toc30597"/>
    </w:p>
    <w:p w14:paraId="077EAEDC">
      <w:pPr>
        <w:tabs>
          <w:tab w:val="left" w:pos="1470"/>
        </w:tabs>
        <w:spacing w:line="432" w:lineRule="auto"/>
        <w:rPr>
          <w:rFonts w:hint="eastAsia" w:ascii="仿宋" w:hAnsi="仿宋" w:eastAsia="仿宋" w:cs="仿宋"/>
          <w:b/>
          <w:color w:val="000000" w:themeColor="text1"/>
          <w:highlight w:val="none"/>
          <w:u w:val="none"/>
          <w:lang w:val="en-US" w:eastAsia="zh-CN"/>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附：</w:t>
      </w:r>
      <w:r>
        <w:rPr>
          <w:rFonts w:hint="eastAsia" w:ascii="仿宋" w:hAnsi="仿宋" w:eastAsia="仿宋" w:cs="仿宋"/>
          <w:b/>
          <w:color w:val="000000" w:themeColor="text1"/>
          <w:highlight w:val="none"/>
          <w:u w:val="none"/>
          <w:lang w:val="en-US" w:eastAsia="zh-CN"/>
          <w14:textFill>
            <w14:solidFill>
              <w14:schemeClr w14:val="tx1"/>
            </w14:solidFill>
          </w14:textFill>
        </w:rPr>
        <w:t>企业营业执照复印件、资质证明文件（如公司行业资质等）复印件，以上资料需加盖公章。</w:t>
      </w:r>
    </w:p>
    <w:p w14:paraId="104DF74F">
      <w:pPr>
        <w:pStyle w:val="7"/>
        <w:rPr>
          <w:rFonts w:hint="eastAsia"/>
        </w:rPr>
      </w:pPr>
    </w:p>
    <w:p w14:paraId="025F6CF0">
      <w:pPr>
        <w:keepNext w:val="0"/>
        <w:keepLines w:val="0"/>
        <w:pageBreakBefore w:val="0"/>
        <w:widowControl/>
        <w:kinsoku/>
        <w:wordWrap/>
        <w:overflowPunct/>
        <w:topLinePunct w:val="0"/>
        <w:autoSpaceDE/>
        <w:autoSpaceDN/>
        <w:bidi w:val="0"/>
        <w:adjustRightInd/>
        <w:snapToGrid/>
        <w:spacing w:before="200" w:beforeLines="0" w:after="200" w:afterLines="0" w:line="560" w:lineRule="exact"/>
        <w:jc w:val="center"/>
        <w:textAlignment w:val="auto"/>
        <w:outlineLvl w:val="1"/>
        <w:rPr>
          <w:rFonts w:hint="eastAsia" w:ascii="仿宋" w:hAnsi="仿宋" w:eastAsia="仿宋" w:cs="仿宋"/>
          <w:b/>
          <w:color w:val="auto"/>
          <w:sz w:val="30"/>
          <w:szCs w:val="30"/>
          <w:highlight w:val="none"/>
        </w:rPr>
      </w:pPr>
      <w:bookmarkStart w:id="102" w:name="_Toc23966"/>
      <w:r>
        <w:rPr>
          <w:rFonts w:hint="eastAsia" w:ascii="仿宋" w:hAnsi="仿宋" w:eastAsia="仿宋" w:cs="仿宋"/>
          <w:b/>
          <w:color w:val="auto"/>
          <w:sz w:val="30"/>
          <w:szCs w:val="30"/>
          <w:highlight w:val="none"/>
        </w:rPr>
        <w:t>（二）企业业绩情况</w:t>
      </w:r>
      <w:bookmarkEnd w:id="90"/>
      <w:bookmarkEnd w:id="91"/>
      <w:bookmarkEnd w:id="92"/>
      <w:bookmarkEnd w:id="93"/>
      <w:bookmarkEnd w:id="94"/>
      <w:bookmarkEnd w:id="95"/>
      <w:bookmarkEnd w:id="96"/>
      <w:bookmarkEnd w:id="97"/>
      <w:bookmarkEnd w:id="98"/>
      <w:bookmarkEnd w:id="99"/>
      <w:bookmarkEnd w:id="100"/>
      <w:bookmarkEnd w:id="101"/>
      <w:bookmarkEnd w:id="102"/>
    </w:p>
    <w:tbl>
      <w:tblPr>
        <w:tblStyle w:val="23"/>
        <w:tblW w:w="831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65"/>
        <w:gridCol w:w="1293"/>
        <w:gridCol w:w="1293"/>
        <w:gridCol w:w="2351"/>
        <w:gridCol w:w="2616"/>
      </w:tblGrid>
      <w:tr w14:paraId="0B03D1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498" w:hRule="atLeast"/>
          <w:tblHeader/>
          <w:jc w:val="center"/>
        </w:trPr>
        <w:tc>
          <w:tcPr>
            <w:tcW w:w="0" w:type="auto"/>
            <w:tcBorders>
              <w:top w:val="single" w:color="auto" w:sz="4" w:space="0"/>
              <w:left w:val="single" w:color="auto" w:sz="4" w:space="0"/>
              <w:bottom w:val="single" w:color="auto" w:sz="4" w:space="0"/>
              <w:right w:val="single" w:color="auto" w:sz="4" w:space="0"/>
            </w:tcBorders>
            <w:vAlign w:val="center"/>
          </w:tcPr>
          <w:p w14:paraId="7C024435">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序号</w:t>
            </w:r>
          </w:p>
        </w:tc>
        <w:tc>
          <w:tcPr>
            <w:tcW w:w="0" w:type="auto"/>
            <w:tcBorders>
              <w:top w:val="single" w:color="auto" w:sz="4" w:space="0"/>
              <w:left w:val="single" w:color="auto" w:sz="4" w:space="0"/>
              <w:bottom w:val="single" w:color="auto" w:sz="4" w:space="0"/>
              <w:right w:val="single" w:color="auto" w:sz="4" w:space="0"/>
            </w:tcBorders>
            <w:vAlign w:val="center"/>
          </w:tcPr>
          <w:p w14:paraId="3F8897B3">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项目类型</w:t>
            </w:r>
          </w:p>
        </w:tc>
        <w:tc>
          <w:tcPr>
            <w:tcW w:w="0" w:type="auto"/>
            <w:tcBorders>
              <w:top w:val="single" w:color="auto" w:sz="4" w:space="0"/>
              <w:left w:val="single" w:color="auto" w:sz="4" w:space="0"/>
              <w:bottom w:val="single" w:color="auto" w:sz="4" w:space="0"/>
              <w:right w:val="single" w:color="auto" w:sz="4" w:space="0"/>
            </w:tcBorders>
            <w:vAlign w:val="center"/>
          </w:tcPr>
          <w:p w14:paraId="55C5ECDD">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项目名称</w:t>
            </w:r>
          </w:p>
        </w:tc>
        <w:tc>
          <w:tcPr>
            <w:tcW w:w="0" w:type="auto"/>
            <w:tcBorders>
              <w:top w:val="single" w:color="auto" w:sz="4" w:space="0"/>
              <w:left w:val="single" w:color="auto" w:sz="4" w:space="0"/>
              <w:bottom w:val="single" w:color="auto" w:sz="4" w:space="0"/>
              <w:right w:val="single" w:color="auto" w:sz="4" w:space="0"/>
            </w:tcBorders>
            <w:vAlign w:val="center"/>
          </w:tcPr>
          <w:p w14:paraId="06C68F22">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项目规模（万元）</w:t>
            </w:r>
          </w:p>
        </w:tc>
        <w:tc>
          <w:tcPr>
            <w:tcW w:w="2616" w:type="dxa"/>
            <w:tcBorders>
              <w:top w:val="single" w:color="auto" w:sz="4" w:space="0"/>
              <w:left w:val="single" w:color="auto" w:sz="4" w:space="0"/>
              <w:bottom w:val="single" w:color="auto" w:sz="4" w:space="0"/>
              <w:right w:val="single" w:color="auto" w:sz="4" w:space="0"/>
            </w:tcBorders>
            <w:vAlign w:val="center"/>
          </w:tcPr>
          <w:p w14:paraId="65A8B004">
            <w:pPr>
              <w:snapToGrid w:val="0"/>
              <w:spacing w:line="240" w:lineRule="auto"/>
              <w:ind w:left="0" w:leftChars="0" w:right="0" w:rightChars="0" w:firstLine="0" w:firstLineChars="0"/>
              <w:jc w:val="center"/>
              <w:rPr>
                <w:rFonts w:hint="eastAsia" w:ascii="仿宋" w:hAnsi="仿宋" w:eastAsia="仿宋" w:cs="仿宋"/>
                <w:b/>
                <w:color w:val="000000" w:themeColor="text1"/>
                <w:highlight w:val="none"/>
                <w:u w:val="none"/>
                <w14:textFill>
                  <w14:solidFill>
                    <w14:schemeClr w14:val="tx1"/>
                  </w14:solidFill>
                </w14:textFill>
              </w:rPr>
            </w:pPr>
            <w:r>
              <w:rPr>
                <w:rFonts w:hint="eastAsia" w:ascii="仿宋" w:hAnsi="仿宋" w:eastAsia="仿宋" w:cs="仿宋"/>
                <w:b/>
                <w:color w:val="000000" w:themeColor="text1"/>
                <w:highlight w:val="none"/>
                <w:u w:val="none"/>
                <w14:textFill>
                  <w14:solidFill>
                    <w14:schemeClr w14:val="tx1"/>
                  </w14:solidFill>
                </w14:textFill>
              </w:rPr>
              <w:t>内容及合同起止时间</w:t>
            </w:r>
          </w:p>
        </w:tc>
      </w:tr>
      <w:tr w14:paraId="780888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76BA490E">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1</w:t>
            </w:r>
          </w:p>
        </w:tc>
        <w:tc>
          <w:tcPr>
            <w:tcW w:w="0" w:type="auto"/>
            <w:tcBorders>
              <w:top w:val="single" w:color="auto" w:sz="4" w:space="0"/>
              <w:left w:val="single" w:color="auto" w:sz="4" w:space="0"/>
              <w:bottom w:val="single" w:color="auto" w:sz="4" w:space="0"/>
              <w:right w:val="single" w:color="auto" w:sz="4" w:space="0"/>
            </w:tcBorders>
            <w:vAlign w:val="center"/>
          </w:tcPr>
          <w:p w14:paraId="1BEAD0D9">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6EE1993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3C55864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1F9BCD48">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76E9B9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1AF7FFB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2</w:t>
            </w:r>
          </w:p>
        </w:tc>
        <w:tc>
          <w:tcPr>
            <w:tcW w:w="0" w:type="auto"/>
            <w:tcBorders>
              <w:top w:val="single" w:color="auto" w:sz="4" w:space="0"/>
              <w:left w:val="single" w:color="auto" w:sz="4" w:space="0"/>
              <w:bottom w:val="single" w:color="auto" w:sz="4" w:space="0"/>
              <w:right w:val="single" w:color="auto" w:sz="4" w:space="0"/>
            </w:tcBorders>
            <w:vAlign w:val="center"/>
          </w:tcPr>
          <w:p w14:paraId="2847CA16">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22886CD3">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4706FE72">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7D705080">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6198DF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19B9721">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3</w:t>
            </w:r>
          </w:p>
        </w:tc>
        <w:tc>
          <w:tcPr>
            <w:tcW w:w="0" w:type="auto"/>
            <w:tcBorders>
              <w:top w:val="single" w:color="auto" w:sz="4" w:space="0"/>
              <w:left w:val="single" w:color="auto" w:sz="4" w:space="0"/>
              <w:bottom w:val="single" w:color="auto" w:sz="4" w:space="0"/>
              <w:right w:val="single" w:color="auto" w:sz="4" w:space="0"/>
            </w:tcBorders>
            <w:vAlign w:val="center"/>
          </w:tcPr>
          <w:p w14:paraId="7A2D963F">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1A613EE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025E089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5A666CB4">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6A68BD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98"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F3F9D0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4</w:t>
            </w:r>
          </w:p>
        </w:tc>
        <w:tc>
          <w:tcPr>
            <w:tcW w:w="0" w:type="auto"/>
            <w:tcBorders>
              <w:top w:val="single" w:color="auto" w:sz="4" w:space="0"/>
              <w:left w:val="single" w:color="auto" w:sz="4" w:space="0"/>
              <w:bottom w:val="single" w:color="auto" w:sz="4" w:space="0"/>
              <w:right w:val="single" w:color="auto" w:sz="4" w:space="0"/>
            </w:tcBorders>
            <w:vAlign w:val="center"/>
          </w:tcPr>
          <w:p w14:paraId="4679FADE">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655369B0">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0" w:type="auto"/>
            <w:tcBorders>
              <w:top w:val="single" w:color="auto" w:sz="4" w:space="0"/>
              <w:left w:val="single" w:color="auto" w:sz="4" w:space="0"/>
              <w:bottom w:val="single" w:color="auto" w:sz="4" w:space="0"/>
              <w:right w:val="single" w:color="auto" w:sz="4" w:space="0"/>
            </w:tcBorders>
            <w:vAlign w:val="center"/>
          </w:tcPr>
          <w:p w14:paraId="7BB1F255">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74E256FE">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r w14:paraId="5CD956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57" w:hRule="atLeast"/>
          <w:jc w:val="center"/>
        </w:trPr>
        <w:tc>
          <w:tcPr>
            <w:tcW w:w="765" w:type="dxa"/>
            <w:tcBorders>
              <w:top w:val="single" w:color="auto" w:sz="4" w:space="0"/>
              <w:left w:val="single" w:color="auto" w:sz="4" w:space="0"/>
              <w:bottom w:val="single" w:color="auto" w:sz="4" w:space="0"/>
              <w:right w:val="single" w:color="auto" w:sz="4" w:space="0"/>
            </w:tcBorders>
            <w:vAlign w:val="center"/>
          </w:tcPr>
          <w:p w14:paraId="7D0B2A04">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r>
              <w:rPr>
                <w:rFonts w:hint="eastAsia" w:ascii="仿宋" w:hAnsi="仿宋" w:eastAsia="仿宋" w:cs="仿宋"/>
                <w:color w:val="000000" w:themeColor="text1"/>
                <w:highlight w:val="none"/>
                <w:u w:val="none"/>
                <w14:textFill>
                  <w14:solidFill>
                    <w14:schemeClr w14:val="tx1"/>
                  </w14:solidFill>
                </w14:textFill>
              </w:rPr>
              <w:t>5</w:t>
            </w:r>
          </w:p>
        </w:tc>
        <w:tc>
          <w:tcPr>
            <w:tcW w:w="1293" w:type="dxa"/>
            <w:tcBorders>
              <w:top w:val="single" w:color="auto" w:sz="4" w:space="0"/>
              <w:left w:val="single" w:color="auto" w:sz="4" w:space="0"/>
              <w:bottom w:val="single" w:color="auto" w:sz="4" w:space="0"/>
              <w:right w:val="single" w:color="auto" w:sz="4" w:space="0"/>
            </w:tcBorders>
            <w:vAlign w:val="center"/>
          </w:tcPr>
          <w:p w14:paraId="763C158C">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1293" w:type="dxa"/>
            <w:tcBorders>
              <w:top w:val="single" w:color="auto" w:sz="4" w:space="0"/>
              <w:left w:val="single" w:color="auto" w:sz="4" w:space="0"/>
              <w:bottom w:val="single" w:color="auto" w:sz="4" w:space="0"/>
              <w:right w:val="single" w:color="auto" w:sz="4" w:space="0"/>
            </w:tcBorders>
            <w:vAlign w:val="center"/>
          </w:tcPr>
          <w:p w14:paraId="4391A5C1">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351" w:type="dxa"/>
            <w:tcBorders>
              <w:top w:val="single" w:color="auto" w:sz="4" w:space="0"/>
              <w:left w:val="single" w:color="auto" w:sz="4" w:space="0"/>
              <w:bottom w:val="single" w:color="auto" w:sz="4" w:space="0"/>
              <w:right w:val="single" w:color="auto" w:sz="4" w:space="0"/>
            </w:tcBorders>
            <w:vAlign w:val="center"/>
          </w:tcPr>
          <w:p w14:paraId="472433C7">
            <w:pPr>
              <w:snapToGrid w:val="0"/>
              <w:spacing w:line="240" w:lineRule="auto"/>
              <w:ind w:left="0" w:leftChars="0" w:right="0" w:rightChars="0" w:firstLine="0" w:firstLineChars="0"/>
              <w:jc w:val="center"/>
              <w:rPr>
                <w:rFonts w:hint="eastAsia" w:ascii="仿宋" w:hAnsi="仿宋" w:eastAsia="仿宋" w:cs="仿宋"/>
                <w:color w:val="000000" w:themeColor="text1"/>
                <w:highlight w:val="none"/>
                <w:u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vAlign w:val="center"/>
          </w:tcPr>
          <w:p w14:paraId="324024A3">
            <w:pPr>
              <w:snapToGrid w:val="0"/>
              <w:spacing w:line="240" w:lineRule="auto"/>
              <w:ind w:left="0" w:leftChars="0" w:right="0" w:rightChars="0" w:firstLine="0" w:firstLineChars="0"/>
              <w:jc w:val="right"/>
              <w:rPr>
                <w:rFonts w:hint="eastAsia" w:ascii="仿宋" w:hAnsi="仿宋" w:eastAsia="仿宋" w:cs="仿宋"/>
                <w:color w:val="000000" w:themeColor="text1"/>
                <w:highlight w:val="none"/>
                <w:u w:val="none"/>
                <w14:textFill>
                  <w14:solidFill>
                    <w14:schemeClr w14:val="tx1"/>
                  </w14:solidFill>
                </w14:textFill>
              </w:rPr>
            </w:pPr>
          </w:p>
        </w:tc>
      </w:tr>
    </w:tbl>
    <w:p w14:paraId="54C9C855">
      <w:pPr>
        <w:rPr>
          <w:rFonts w:hint="eastAsia" w:ascii="宋体" w:hAnsi="宋体" w:cs="宋体"/>
          <w:color w:val="000000" w:themeColor="text1"/>
          <w:highlight w:val="none"/>
          <w:u w:val="none"/>
          <w14:textFill>
            <w14:solidFill>
              <w14:schemeClr w14:val="tx1"/>
            </w14:solidFill>
          </w14:textFill>
        </w:rPr>
      </w:pPr>
    </w:p>
    <w:p w14:paraId="772359FB">
      <w:pPr>
        <w:rPr>
          <w:rFonts w:hint="eastAsia" w:ascii="宋体" w:hAnsi="宋体" w:cs="宋体"/>
          <w:color w:val="000000" w:themeColor="text1"/>
          <w:highlight w:val="none"/>
          <w:u w:val="none"/>
          <w14:textFill>
            <w14:solidFill>
              <w14:schemeClr w14:val="tx1"/>
            </w14:solidFill>
          </w14:textFill>
        </w:rPr>
      </w:pPr>
    </w:p>
    <w:p w14:paraId="604172C2">
      <w:pPr>
        <w:rPr>
          <w:rFonts w:hint="eastAsia" w:ascii="仿宋" w:hAnsi="仿宋" w:eastAsia="仿宋" w:cs="仿宋"/>
          <w:b/>
          <w:bCs/>
          <w:color w:val="000000" w:themeColor="text1"/>
          <w:highlight w:val="none"/>
          <w:u w:val="none"/>
          <w:lang w:val="en-US" w:eastAsia="zh-CN"/>
          <w14:textFill>
            <w14:solidFill>
              <w14:schemeClr w14:val="tx1"/>
            </w14:solidFill>
          </w14:textFill>
        </w:rPr>
      </w:pPr>
      <w:r>
        <w:rPr>
          <w:rFonts w:hint="eastAsia" w:ascii="仿宋" w:hAnsi="仿宋" w:eastAsia="仿宋" w:cs="仿宋"/>
          <w:b/>
          <w:bCs/>
          <w:color w:val="000000" w:themeColor="text1"/>
          <w:highlight w:val="none"/>
          <w:u w:val="none"/>
          <w14:textFill>
            <w14:solidFill>
              <w14:schemeClr w14:val="tx1"/>
            </w14:solidFill>
          </w14:textFill>
        </w:rPr>
        <w:t>注：投标人提供合同协议复印件</w:t>
      </w:r>
      <w:r>
        <w:rPr>
          <w:rFonts w:hint="eastAsia" w:ascii="仿宋" w:hAnsi="仿宋" w:eastAsia="仿宋" w:cs="仿宋"/>
          <w:b/>
          <w:bCs/>
          <w:color w:val="000000" w:themeColor="text1"/>
          <w:highlight w:val="none"/>
          <w:u w:val="none"/>
          <w:lang w:val="en-US" w:eastAsia="zh-CN"/>
          <w14:textFill>
            <w14:solidFill>
              <w14:schemeClr w14:val="tx1"/>
            </w14:solidFill>
          </w14:textFill>
        </w:rPr>
        <w:t>，加盖公章。</w:t>
      </w:r>
    </w:p>
    <w:p w14:paraId="4BCF4E11">
      <w:pPr>
        <w:rPr>
          <w:rFonts w:hint="eastAsia"/>
        </w:rPr>
      </w:pPr>
    </w:p>
    <w:p w14:paraId="30C8B766">
      <w:pPr>
        <w:jc w:val="center"/>
        <w:rPr>
          <w:rFonts w:hint="eastAsia" w:ascii="仿宋" w:hAnsi="仿宋" w:eastAsia="仿宋" w:cs="仿宋"/>
          <w:color w:val="auto"/>
          <w:sz w:val="30"/>
          <w:szCs w:val="30"/>
          <w:highlight w:val="none"/>
        </w:rPr>
      </w:pPr>
    </w:p>
    <w:p w14:paraId="2E0F7EFF">
      <w:pPr>
        <w:jc w:val="center"/>
        <w:rPr>
          <w:rFonts w:hint="eastAsia" w:ascii="仿宋" w:hAnsi="仿宋" w:eastAsia="仿宋" w:cs="仿宋"/>
          <w:color w:val="auto"/>
          <w:sz w:val="30"/>
          <w:szCs w:val="30"/>
          <w:highlight w:val="none"/>
        </w:rPr>
      </w:pPr>
    </w:p>
    <w:p w14:paraId="6DB7114B">
      <w:pPr>
        <w:jc w:val="center"/>
        <w:rPr>
          <w:rFonts w:hint="eastAsia" w:ascii="仿宋" w:hAnsi="仿宋" w:eastAsia="仿宋" w:cs="仿宋"/>
          <w:color w:val="auto"/>
          <w:sz w:val="30"/>
          <w:szCs w:val="30"/>
          <w:highlight w:val="none"/>
        </w:rPr>
      </w:pPr>
    </w:p>
    <w:p w14:paraId="7237AFC0">
      <w:pPr>
        <w:jc w:val="left"/>
        <w:rPr>
          <w:rFonts w:hint="eastAsia" w:ascii="仿宋" w:hAnsi="仿宋" w:eastAsia="仿宋" w:cs="仿宋"/>
          <w:b/>
          <w:bCs/>
          <w:color w:val="auto"/>
          <w:sz w:val="30"/>
          <w:szCs w:val="30"/>
          <w:highlight w:val="none"/>
        </w:rPr>
      </w:pPr>
      <w:r>
        <w:rPr>
          <w:rFonts w:hint="eastAsia" w:ascii="仿宋" w:hAnsi="仿宋" w:eastAsia="仿宋" w:cs="仿宋"/>
          <w:b/>
          <w:bCs/>
          <w:color w:val="auto"/>
          <w:sz w:val="30"/>
          <w:szCs w:val="30"/>
          <w:highlight w:val="none"/>
        </w:rPr>
        <w:br w:type="page"/>
      </w:r>
    </w:p>
    <w:p w14:paraId="58FEF0FA">
      <w:pPr>
        <w:spacing w:before="200" w:beforeLines="0" w:after="200" w:afterLines="0" w:line="560" w:lineRule="exact"/>
        <w:jc w:val="both"/>
        <w:outlineLvl w:val="1"/>
        <w:rPr>
          <w:rFonts w:hint="eastAsia" w:ascii="仿宋" w:hAnsi="仿宋" w:eastAsia="仿宋" w:cs="仿宋"/>
          <w:b/>
          <w:bCs w:val="0"/>
          <w:color w:val="auto"/>
          <w:sz w:val="30"/>
          <w:szCs w:val="30"/>
          <w:highlight w:val="none"/>
        </w:rPr>
      </w:pPr>
      <w:r>
        <w:rPr>
          <w:rFonts w:hint="eastAsia" w:ascii="仿宋" w:hAnsi="仿宋" w:eastAsia="仿宋" w:cs="仿宋"/>
          <w:b/>
          <w:bCs w:val="0"/>
          <w:color w:val="auto"/>
          <w:sz w:val="30"/>
          <w:szCs w:val="30"/>
          <w:highlight w:val="none"/>
        </w:rPr>
        <w:t>法定代表人</w:t>
      </w:r>
      <w:r>
        <w:rPr>
          <w:rFonts w:hint="eastAsia" w:ascii="仿宋" w:hAnsi="仿宋" w:eastAsia="仿宋" w:cs="仿宋"/>
          <w:b/>
          <w:bCs w:val="0"/>
          <w:color w:val="auto"/>
          <w:sz w:val="30"/>
          <w:szCs w:val="30"/>
          <w:highlight w:val="none"/>
          <w:lang w:val="en-US" w:eastAsia="zh-CN"/>
        </w:rPr>
        <w:t>身份证复印件</w:t>
      </w:r>
      <w:r>
        <w:rPr>
          <w:rFonts w:hint="eastAsia" w:ascii="仿宋" w:hAnsi="仿宋" w:eastAsia="仿宋" w:cs="仿宋"/>
          <w:b/>
          <w:bCs w:val="0"/>
          <w:color w:val="auto"/>
          <w:sz w:val="30"/>
          <w:szCs w:val="30"/>
          <w:highlight w:val="none"/>
        </w:rPr>
        <w:t>（适用于无委托代理人的情况）</w:t>
      </w:r>
    </w:p>
    <w:p w14:paraId="20319E54">
      <w:pPr>
        <w:pStyle w:val="7"/>
        <w:rPr>
          <w:rFonts w:hint="eastAsia" w:ascii="仿宋" w:hAnsi="仿宋" w:eastAsia="仿宋" w:cs="仿宋"/>
          <w:color w:val="auto"/>
          <w:highlight w:val="none"/>
        </w:rPr>
      </w:pPr>
    </w:p>
    <w:p w14:paraId="582DA23B">
      <w:pPr>
        <w:jc w:val="center"/>
        <w:rPr>
          <w:rFonts w:hint="eastAsia" w:ascii="仿宋" w:hAnsi="仿宋" w:eastAsia="仿宋" w:cs="仿宋"/>
          <w:color w:val="auto"/>
          <w:sz w:val="22"/>
          <w:highlight w:val="none"/>
        </w:rPr>
      </w:pPr>
    </w:p>
    <w:p w14:paraId="5FB0B5AB">
      <w:pPr>
        <w:jc w:val="center"/>
        <w:rPr>
          <w:rFonts w:hint="eastAsia" w:ascii="仿宋" w:hAnsi="仿宋" w:eastAsia="仿宋" w:cs="仿宋"/>
          <w:color w:val="auto"/>
          <w:sz w:val="22"/>
          <w:highlight w:val="none"/>
        </w:rPr>
      </w:pPr>
    </w:p>
    <w:p w14:paraId="28743AE3">
      <w:pPr>
        <w:jc w:val="center"/>
        <w:rPr>
          <w:rFonts w:hint="eastAsia" w:ascii="仿宋" w:hAnsi="仿宋" w:eastAsia="仿宋" w:cs="仿宋"/>
          <w:color w:val="auto"/>
          <w:sz w:val="22"/>
          <w:highlight w:val="none"/>
        </w:rPr>
      </w:pPr>
    </w:p>
    <w:p w14:paraId="62BB4A65">
      <w:pPr>
        <w:jc w:val="center"/>
        <w:rPr>
          <w:rFonts w:hint="eastAsia" w:ascii="仿宋" w:hAnsi="仿宋" w:eastAsia="仿宋" w:cs="仿宋"/>
          <w:color w:val="auto"/>
          <w:sz w:val="22"/>
          <w:highlight w:val="none"/>
        </w:rPr>
      </w:pPr>
    </w:p>
    <w:p w14:paraId="23F76453">
      <w:pPr>
        <w:jc w:val="center"/>
        <w:rPr>
          <w:rFonts w:hint="eastAsia" w:ascii="仿宋" w:hAnsi="仿宋" w:eastAsia="仿宋" w:cs="仿宋"/>
          <w:color w:val="auto"/>
          <w:sz w:val="22"/>
          <w:highlight w:val="none"/>
        </w:rPr>
      </w:pPr>
    </w:p>
    <w:p w14:paraId="29C8882B">
      <w:pPr>
        <w:jc w:val="center"/>
        <w:rPr>
          <w:rFonts w:hint="eastAsia" w:ascii="仿宋" w:hAnsi="仿宋" w:eastAsia="仿宋" w:cs="仿宋"/>
          <w:color w:val="auto"/>
          <w:sz w:val="22"/>
          <w:highlight w:val="none"/>
        </w:rPr>
      </w:pPr>
    </w:p>
    <w:p w14:paraId="399A9D5B">
      <w:pPr>
        <w:jc w:val="center"/>
        <w:rPr>
          <w:rFonts w:hint="eastAsia" w:ascii="仿宋" w:hAnsi="仿宋" w:eastAsia="仿宋" w:cs="仿宋"/>
          <w:color w:val="auto"/>
          <w:sz w:val="22"/>
          <w:highlight w:val="none"/>
        </w:rPr>
      </w:pPr>
    </w:p>
    <w:p w14:paraId="67EF66A0">
      <w:pPr>
        <w:jc w:val="center"/>
        <w:rPr>
          <w:rFonts w:hint="eastAsia" w:ascii="仿宋" w:hAnsi="仿宋" w:eastAsia="仿宋" w:cs="仿宋"/>
          <w:color w:val="auto"/>
          <w:sz w:val="22"/>
          <w:highlight w:val="none"/>
        </w:rPr>
      </w:pPr>
    </w:p>
    <w:p w14:paraId="569BF76D">
      <w:pPr>
        <w:jc w:val="center"/>
        <w:rPr>
          <w:rFonts w:hint="eastAsia" w:ascii="仿宋" w:hAnsi="仿宋" w:eastAsia="仿宋" w:cs="仿宋"/>
          <w:color w:val="auto"/>
          <w:sz w:val="22"/>
          <w:highlight w:val="none"/>
        </w:rPr>
      </w:pPr>
    </w:p>
    <w:p w14:paraId="3862232D">
      <w:pPr>
        <w:jc w:val="center"/>
        <w:rPr>
          <w:rFonts w:hint="eastAsia" w:ascii="仿宋" w:hAnsi="仿宋" w:eastAsia="仿宋" w:cs="仿宋"/>
          <w:color w:val="auto"/>
          <w:sz w:val="22"/>
          <w:highlight w:val="none"/>
        </w:rPr>
      </w:pPr>
    </w:p>
    <w:p w14:paraId="1D258B7B">
      <w:pPr>
        <w:jc w:val="center"/>
        <w:rPr>
          <w:rFonts w:hint="eastAsia" w:ascii="仿宋" w:hAnsi="仿宋" w:eastAsia="仿宋" w:cs="仿宋"/>
          <w:color w:val="auto"/>
          <w:sz w:val="22"/>
          <w:highlight w:val="none"/>
        </w:rPr>
      </w:pPr>
    </w:p>
    <w:p w14:paraId="75358FAA">
      <w:pPr>
        <w:jc w:val="center"/>
        <w:rPr>
          <w:rFonts w:hint="eastAsia" w:ascii="仿宋" w:hAnsi="仿宋" w:eastAsia="仿宋" w:cs="仿宋"/>
          <w:color w:val="auto"/>
          <w:sz w:val="22"/>
          <w:highlight w:val="none"/>
        </w:rPr>
      </w:pPr>
    </w:p>
    <w:p w14:paraId="69B5E068">
      <w:pPr>
        <w:jc w:val="center"/>
        <w:rPr>
          <w:rFonts w:hint="eastAsia" w:ascii="仿宋" w:hAnsi="仿宋" w:eastAsia="仿宋" w:cs="仿宋"/>
          <w:color w:val="auto"/>
          <w:sz w:val="22"/>
          <w:highlight w:val="none"/>
        </w:rPr>
      </w:pPr>
    </w:p>
    <w:p w14:paraId="13DC5444">
      <w:pPr>
        <w:jc w:val="center"/>
        <w:rPr>
          <w:rFonts w:hint="eastAsia" w:ascii="仿宋" w:hAnsi="仿宋" w:eastAsia="仿宋" w:cs="仿宋"/>
          <w:color w:val="auto"/>
          <w:sz w:val="22"/>
          <w:highlight w:val="none"/>
        </w:rPr>
      </w:pPr>
    </w:p>
    <w:p w14:paraId="3620F67C">
      <w:pPr>
        <w:jc w:val="center"/>
        <w:rPr>
          <w:rFonts w:hint="eastAsia" w:ascii="仿宋" w:hAnsi="仿宋" w:eastAsia="仿宋" w:cs="仿宋"/>
          <w:color w:val="auto"/>
          <w:sz w:val="22"/>
          <w:highlight w:val="none"/>
        </w:rPr>
      </w:pPr>
    </w:p>
    <w:p w14:paraId="537C7291">
      <w:pPr>
        <w:jc w:val="center"/>
        <w:rPr>
          <w:rFonts w:hint="eastAsia" w:ascii="仿宋" w:hAnsi="仿宋" w:eastAsia="仿宋" w:cs="仿宋"/>
          <w:color w:val="auto"/>
          <w:sz w:val="22"/>
          <w:highlight w:val="none"/>
        </w:rPr>
      </w:pPr>
    </w:p>
    <w:p w14:paraId="6082563B">
      <w:pPr>
        <w:jc w:val="center"/>
        <w:rPr>
          <w:rFonts w:hint="eastAsia" w:ascii="仿宋" w:hAnsi="仿宋" w:eastAsia="仿宋" w:cs="仿宋"/>
          <w:color w:val="auto"/>
          <w:sz w:val="22"/>
          <w:highlight w:val="none"/>
        </w:rPr>
      </w:pPr>
    </w:p>
    <w:p w14:paraId="72468D9A">
      <w:pPr>
        <w:pStyle w:val="7"/>
        <w:rPr>
          <w:rFonts w:hint="eastAsia" w:ascii="仿宋" w:hAnsi="仿宋" w:eastAsia="仿宋" w:cs="仿宋"/>
          <w:color w:val="auto"/>
          <w:sz w:val="22"/>
          <w:highlight w:val="none"/>
        </w:rPr>
      </w:pPr>
    </w:p>
    <w:p w14:paraId="5BCF3421">
      <w:pPr>
        <w:rPr>
          <w:rFonts w:hint="eastAsia" w:ascii="仿宋" w:hAnsi="仿宋" w:eastAsia="仿宋" w:cs="仿宋"/>
          <w:color w:val="auto"/>
          <w:sz w:val="22"/>
          <w:highlight w:val="none"/>
        </w:rPr>
      </w:pPr>
    </w:p>
    <w:p w14:paraId="4BC84BDD">
      <w:pPr>
        <w:pStyle w:val="7"/>
        <w:rPr>
          <w:rFonts w:hint="eastAsia" w:ascii="仿宋" w:hAnsi="仿宋" w:eastAsia="仿宋" w:cs="仿宋"/>
          <w:color w:val="auto"/>
          <w:sz w:val="22"/>
          <w:highlight w:val="none"/>
        </w:rPr>
      </w:pPr>
    </w:p>
    <w:p w14:paraId="38262735">
      <w:pPr>
        <w:rPr>
          <w:rFonts w:hint="eastAsia" w:ascii="仿宋" w:hAnsi="仿宋" w:eastAsia="仿宋" w:cs="仿宋"/>
          <w:color w:val="auto"/>
          <w:sz w:val="22"/>
          <w:highlight w:val="none"/>
        </w:rPr>
      </w:pPr>
    </w:p>
    <w:p w14:paraId="63435A03">
      <w:pPr>
        <w:pStyle w:val="7"/>
        <w:rPr>
          <w:rFonts w:hint="eastAsia" w:ascii="仿宋" w:hAnsi="仿宋" w:eastAsia="仿宋" w:cs="仿宋"/>
          <w:color w:val="auto"/>
          <w:sz w:val="22"/>
          <w:highlight w:val="none"/>
        </w:rPr>
      </w:pPr>
    </w:p>
    <w:p w14:paraId="4D85BF75">
      <w:pPr>
        <w:rPr>
          <w:rFonts w:hint="eastAsia" w:ascii="仿宋" w:hAnsi="仿宋" w:eastAsia="仿宋" w:cs="仿宋"/>
          <w:color w:val="auto"/>
          <w:sz w:val="22"/>
          <w:highlight w:val="none"/>
        </w:rPr>
      </w:pPr>
    </w:p>
    <w:p w14:paraId="00921D54">
      <w:pPr>
        <w:pStyle w:val="7"/>
        <w:rPr>
          <w:rFonts w:hint="eastAsia" w:ascii="仿宋" w:hAnsi="仿宋" w:eastAsia="仿宋" w:cs="仿宋"/>
          <w:color w:val="auto"/>
          <w:highlight w:val="none"/>
        </w:rPr>
      </w:pPr>
    </w:p>
    <w:p w14:paraId="3E7E0DE5">
      <w:pPr>
        <w:jc w:val="center"/>
        <w:rPr>
          <w:rFonts w:hint="eastAsia" w:ascii="仿宋" w:hAnsi="仿宋" w:eastAsia="仿宋" w:cs="仿宋"/>
          <w:color w:val="auto"/>
          <w:sz w:val="22"/>
          <w:highlight w:val="none"/>
        </w:rPr>
      </w:pPr>
    </w:p>
    <w:p w14:paraId="5290A99B">
      <w:pPr>
        <w:jc w:val="center"/>
        <w:rPr>
          <w:rFonts w:hint="eastAsia" w:ascii="仿宋" w:hAnsi="仿宋" w:eastAsia="仿宋" w:cs="仿宋"/>
          <w:color w:val="auto"/>
          <w:sz w:val="22"/>
          <w:highlight w:val="none"/>
        </w:rPr>
      </w:pPr>
    </w:p>
    <w:p w14:paraId="65530F57">
      <w:pPr>
        <w:jc w:val="center"/>
        <w:rPr>
          <w:rFonts w:hint="eastAsia" w:ascii="仿宋" w:hAnsi="仿宋" w:eastAsia="仿宋" w:cs="仿宋"/>
          <w:color w:val="auto"/>
          <w:sz w:val="22"/>
          <w:highlight w:val="none"/>
        </w:rPr>
      </w:pPr>
    </w:p>
    <w:p w14:paraId="6311F35D">
      <w:pPr>
        <w:jc w:val="center"/>
        <w:rPr>
          <w:rFonts w:hint="eastAsia" w:ascii="仿宋" w:hAnsi="仿宋" w:eastAsia="仿宋" w:cs="仿宋"/>
          <w:color w:val="auto"/>
          <w:sz w:val="22"/>
          <w:highlight w:val="none"/>
        </w:rPr>
      </w:pPr>
    </w:p>
    <w:p w14:paraId="6E181ADF">
      <w:pPr>
        <w:jc w:val="center"/>
        <w:rPr>
          <w:rFonts w:hint="eastAsia" w:ascii="仿宋" w:hAnsi="仿宋" w:eastAsia="仿宋" w:cs="仿宋"/>
          <w:color w:val="auto"/>
          <w:sz w:val="22"/>
          <w:highlight w:val="none"/>
        </w:rPr>
      </w:pPr>
    </w:p>
    <w:p w14:paraId="3FD03106">
      <w:pPr>
        <w:jc w:val="center"/>
        <w:rPr>
          <w:rFonts w:hint="eastAsia" w:ascii="仿宋" w:hAnsi="仿宋" w:eastAsia="仿宋" w:cs="仿宋"/>
          <w:color w:val="auto"/>
          <w:sz w:val="22"/>
          <w:highlight w:val="none"/>
        </w:rPr>
      </w:pPr>
    </w:p>
    <w:p w14:paraId="68EBE2F6">
      <w:pPr>
        <w:jc w:val="center"/>
        <w:rPr>
          <w:rFonts w:hint="eastAsia" w:ascii="仿宋" w:hAnsi="仿宋" w:eastAsia="仿宋" w:cs="仿宋"/>
          <w:color w:val="auto"/>
          <w:sz w:val="22"/>
          <w:highlight w:val="none"/>
        </w:rPr>
      </w:pPr>
    </w:p>
    <w:p w14:paraId="24A80527">
      <w:pPr>
        <w:jc w:val="center"/>
        <w:rPr>
          <w:rFonts w:hint="eastAsia" w:ascii="仿宋" w:hAnsi="仿宋" w:eastAsia="仿宋" w:cs="仿宋"/>
          <w:color w:val="auto"/>
          <w:sz w:val="22"/>
          <w:highlight w:val="none"/>
        </w:rPr>
      </w:pPr>
    </w:p>
    <w:p w14:paraId="1A83C829">
      <w:pPr>
        <w:pStyle w:val="7"/>
        <w:rPr>
          <w:rFonts w:hint="eastAsia" w:ascii="仿宋" w:hAnsi="仿宋" w:eastAsia="仿宋" w:cs="仿宋"/>
          <w:color w:val="auto"/>
          <w:sz w:val="22"/>
          <w:highlight w:val="none"/>
        </w:rPr>
      </w:pPr>
    </w:p>
    <w:p w14:paraId="58AE4332">
      <w:pPr>
        <w:rPr>
          <w:rFonts w:hint="eastAsia" w:ascii="仿宋" w:hAnsi="仿宋" w:eastAsia="仿宋" w:cs="仿宋"/>
          <w:color w:val="auto"/>
          <w:highlight w:val="none"/>
        </w:rPr>
      </w:pPr>
    </w:p>
    <w:p w14:paraId="1BE254B7">
      <w:pPr>
        <w:jc w:val="center"/>
        <w:rPr>
          <w:rFonts w:hint="eastAsia" w:ascii="仿宋" w:hAnsi="仿宋" w:eastAsia="仿宋" w:cs="仿宋"/>
          <w:color w:val="auto"/>
          <w:sz w:val="22"/>
          <w:highlight w:val="none"/>
        </w:rPr>
      </w:pPr>
    </w:p>
    <w:p w14:paraId="18903C30">
      <w:pPr>
        <w:jc w:val="center"/>
        <w:rPr>
          <w:rFonts w:hint="eastAsia" w:ascii="仿宋" w:hAnsi="仿宋" w:eastAsia="仿宋" w:cs="仿宋"/>
          <w:color w:val="auto"/>
          <w:sz w:val="22"/>
          <w:highlight w:val="none"/>
        </w:rPr>
      </w:pPr>
    </w:p>
    <w:p w14:paraId="1D1F25BE">
      <w:pPr>
        <w:topLinePunct/>
        <w:spacing w:line="440" w:lineRule="exact"/>
        <w:ind w:firstLine="0" w:firstLineChars="0"/>
        <w:rPr>
          <w:rFonts w:hint="eastAsia" w:ascii="仿宋" w:hAnsi="仿宋" w:eastAsia="仿宋" w:cs="仿宋"/>
          <w:b/>
          <w:color w:val="auto"/>
          <w:szCs w:val="21"/>
          <w:highlight w:val="none"/>
          <w:lang w:val="en-US" w:eastAsia="zh-CN"/>
        </w:rPr>
      </w:pPr>
    </w:p>
    <w:p w14:paraId="2B3EEB40">
      <w:pPr>
        <w:topLinePunct/>
        <w:spacing w:line="440" w:lineRule="exact"/>
        <w:ind w:firstLine="0" w:firstLineChars="0"/>
        <w:rPr>
          <w:rFonts w:hint="eastAsia" w:ascii="仿宋" w:hAnsi="仿宋" w:eastAsia="仿宋" w:cs="仿宋"/>
          <w:b/>
          <w:color w:val="auto"/>
          <w:szCs w:val="21"/>
          <w:highlight w:val="none"/>
        </w:rPr>
      </w:pPr>
      <w:r>
        <w:rPr>
          <w:rFonts w:hint="eastAsia" w:ascii="仿宋" w:hAnsi="仿宋" w:eastAsia="仿宋" w:cs="仿宋"/>
          <w:b/>
          <w:color w:val="auto"/>
          <w:szCs w:val="21"/>
          <w:highlight w:val="none"/>
          <w:lang w:val="en-US" w:eastAsia="zh-CN"/>
        </w:rPr>
        <w:t>注</w:t>
      </w:r>
      <w:r>
        <w:rPr>
          <w:rFonts w:hint="eastAsia" w:ascii="仿宋" w:hAnsi="仿宋" w:eastAsia="仿宋" w:cs="仿宋"/>
          <w:b/>
          <w:color w:val="auto"/>
          <w:szCs w:val="21"/>
          <w:highlight w:val="none"/>
        </w:rPr>
        <w:t>：</w:t>
      </w:r>
      <w:r>
        <w:rPr>
          <w:rFonts w:hint="eastAsia" w:ascii="仿宋" w:hAnsi="仿宋" w:eastAsia="仿宋" w:cs="仿宋"/>
          <w:b/>
          <w:color w:val="auto"/>
          <w:szCs w:val="21"/>
          <w:highlight w:val="none"/>
          <w:lang w:val="en-US" w:eastAsia="zh-CN"/>
        </w:rPr>
        <w:t>需提供</w:t>
      </w:r>
      <w:r>
        <w:rPr>
          <w:rFonts w:hint="eastAsia" w:ascii="仿宋" w:hAnsi="仿宋" w:eastAsia="仿宋" w:cs="仿宋"/>
          <w:b/>
          <w:color w:val="auto"/>
          <w:szCs w:val="21"/>
          <w:highlight w:val="none"/>
        </w:rPr>
        <w:t>法定代表人身份证复印件</w:t>
      </w:r>
      <w:r>
        <w:rPr>
          <w:rFonts w:hint="eastAsia" w:ascii="仿宋" w:hAnsi="仿宋" w:eastAsia="仿宋" w:cs="仿宋"/>
          <w:b/>
          <w:color w:val="auto"/>
          <w:szCs w:val="21"/>
          <w:highlight w:val="none"/>
          <w:lang w:val="en-US" w:eastAsia="zh-CN"/>
        </w:rPr>
        <w:t>正反面，加盖公章</w:t>
      </w:r>
      <w:r>
        <w:rPr>
          <w:rFonts w:hint="eastAsia" w:ascii="仿宋" w:hAnsi="仿宋" w:eastAsia="仿宋" w:cs="仿宋"/>
          <w:b/>
          <w:color w:val="auto"/>
          <w:szCs w:val="21"/>
          <w:highlight w:val="none"/>
        </w:rPr>
        <w:t>。</w:t>
      </w:r>
    </w:p>
    <w:p w14:paraId="20E35EDE">
      <w:pPr>
        <w:jc w:val="left"/>
        <w:outlineLvl w:val="9"/>
        <w:rPr>
          <w:rFonts w:hint="eastAsia" w:ascii="仿宋" w:hAnsi="仿宋" w:eastAsia="仿宋" w:cs="仿宋"/>
          <w:b/>
          <w:bCs/>
          <w:color w:val="auto"/>
          <w:sz w:val="30"/>
          <w:szCs w:val="30"/>
          <w:highlight w:val="none"/>
        </w:rPr>
      </w:pPr>
      <w:bookmarkStart w:id="103" w:name="_Toc21559"/>
      <w:r>
        <w:rPr>
          <w:rFonts w:hint="eastAsia" w:ascii="仿宋" w:hAnsi="仿宋" w:eastAsia="仿宋" w:cs="仿宋"/>
          <w:b/>
          <w:bCs/>
          <w:color w:val="auto"/>
          <w:sz w:val="30"/>
          <w:szCs w:val="30"/>
          <w:highlight w:val="none"/>
        </w:rPr>
        <w:br w:type="page"/>
      </w:r>
    </w:p>
    <w:p w14:paraId="465B27F9">
      <w:pPr>
        <w:spacing w:before="200" w:beforeLines="0" w:after="200" w:afterLines="0" w:line="560" w:lineRule="exact"/>
        <w:jc w:val="center"/>
        <w:outlineLvl w:val="1"/>
        <w:rPr>
          <w:rFonts w:hint="eastAsia" w:ascii="仿宋" w:hAnsi="仿宋" w:eastAsia="仿宋" w:cs="仿宋"/>
          <w:b/>
          <w:bCs w:val="0"/>
          <w:color w:val="auto"/>
          <w:sz w:val="30"/>
          <w:szCs w:val="30"/>
          <w:highlight w:val="none"/>
        </w:rPr>
      </w:pPr>
      <w:bookmarkStart w:id="104" w:name="_Toc21392"/>
      <w:r>
        <w:rPr>
          <w:rFonts w:hint="eastAsia" w:ascii="仿宋" w:hAnsi="仿宋" w:eastAsia="仿宋" w:cs="仿宋"/>
          <w:b/>
          <w:bCs w:val="0"/>
          <w:color w:val="auto"/>
          <w:sz w:val="30"/>
          <w:szCs w:val="30"/>
          <w:highlight w:val="none"/>
        </w:rPr>
        <w:t>授权委托书（适用于有委托代理人的情况）</w:t>
      </w:r>
      <w:bookmarkEnd w:id="103"/>
      <w:bookmarkEnd w:id="104"/>
    </w:p>
    <w:p w14:paraId="2927539B">
      <w:pPr>
        <w:pStyle w:val="9"/>
        <w:ind w:firstLine="0" w:firstLineChars="0"/>
        <w:rPr>
          <w:rFonts w:hint="eastAsia" w:ascii="仿宋" w:hAnsi="仿宋" w:eastAsia="仿宋" w:cs="仿宋"/>
          <w:color w:val="auto"/>
          <w:szCs w:val="24"/>
          <w:highlight w:val="none"/>
        </w:rPr>
      </w:pPr>
    </w:p>
    <w:p w14:paraId="385986DE">
      <w:pPr>
        <w:spacing w:line="360" w:lineRule="auto"/>
        <w:ind w:firstLine="48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本人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（姓名） </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val="en-US" w:eastAsia="zh-CN"/>
        </w:rPr>
        <w:t>响应单位</w:t>
      </w:r>
      <w:r>
        <w:rPr>
          <w:rFonts w:hint="eastAsia" w:ascii="仿宋" w:hAnsi="仿宋" w:eastAsia="仿宋" w:cs="仿宋"/>
          <w:color w:val="auto"/>
          <w:sz w:val="24"/>
          <w:highlight w:val="none"/>
          <w:u w:val="single"/>
        </w:rPr>
        <w:t xml:space="preserve">名称） </w:t>
      </w:r>
      <w:r>
        <w:rPr>
          <w:rFonts w:hint="eastAsia" w:ascii="仿宋" w:hAnsi="仿宋" w:eastAsia="仿宋" w:cs="仿宋"/>
          <w:color w:val="auto"/>
          <w:sz w:val="24"/>
          <w:highlight w:val="none"/>
        </w:rPr>
        <w:t>的法定代表人/单位负责人，现委托</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姓名</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rPr>
        <w:t>为我方授权代理人。代理人根据授权，以我方名义签署、澄清、确认、递交、撤回、修改</w:t>
      </w:r>
      <w:r>
        <w:rPr>
          <w:rFonts w:hint="eastAsia" w:ascii="仿宋" w:hAnsi="仿宋" w:eastAsia="仿宋" w:cs="仿宋"/>
          <w:color w:val="auto"/>
          <w:sz w:val="24"/>
          <w:highlight w:val="none"/>
          <w:u w:val="single"/>
          <w:lang w:eastAsia="zh-CN"/>
        </w:rPr>
        <w:t>赣州景区建设运营有限公司猪肉类产品2026</w:t>
      </w:r>
      <w:r>
        <w:rPr>
          <w:rFonts w:hint="eastAsia" w:ascii="仿宋" w:hAnsi="仿宋" w:eastAsia="仿宋" w:cs="仿宋"/>
          <w:color w:val="auto"/>
          <w:sz w:val="24"/>
          <w:highlight w:val="none"/>
          <w:u w:val="single"/>
          <w:lang w:val="en-US" w:eastAsia="zh-CN"/>
        </w:rPr>
        <w:t>-2027</w:t>
      </w:r>
      <w:r>
        <w:rPr>
          <w:rFonts w:hint="eastAsia" w:ascii="仿宋" w:hAnsi="仿宋" w:eastAsia="仿宋" w:cs="仿宋"/>
          <w:color w:val="auto"/>
          <w:sz w:val="24"/>
          <w:highlight w:val="none"/>
          <w:u w:val="single"/>
          <w:lang w:eastAsia="zh-CN"/>
        </w:rPr>
        <w:t>年度框架协议供应商入围征集项目</w:t>
      </w:r>
      <w:r>
        <w:rPr>
          <w:rFonts w:hint="eastAsia" w:ascii="仿宋" w:hAnsi="仿宋" w:eastAsia="仿宋" w:cs="仿宋"/>
          <w:color w:val="auto"/>
          <w:sz w:val="24"/>
          <w:highlight w:val="none"/>
        </w:rPr>
        <w:t>报价文件</w:t>
      </w:r>
      <w:r>
        <w:rPr>
          <w:rFonts w:hint="eastAsia" w:ascii="仿宋" w:hAnsi="仿宋" w:eastAsia="仿宋" w:cs="仿宋"/>
          <w:color w:val="auto"/>
          <w:sz w:val="24"/>
          <w:highlight w:val="none"/>
          <w:lang w:val="en-US" w:eastAsia="zh-CN"/>
        </w:rPr>
        <w:t>以及</w:t>
      </w:r>
      <w:r>
        <w:rPr>
          <w:rFonts w:hint="eastAsia" w:ascii="仿宋" w:hAnsi="仿宋" w:eastAsia="仿宋" w:cs="仿宋"/>
          <w:color w:val="auto"/>
          <w:sz w:val="24"/>
          <w:highlight w:val="none"/>
        </w:rPr>
        <w:t>签订合同和处理有关事宜，其法律后果由我方承担。</w:t>
      </w:r>
    </w:p>
    <w:p w14:paraId="4D8891AF">
      <w:pPr>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委托期限：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日至</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1630A34C">
      <w:pPr>
        <w:spacing w:line="360" w:lineRule="auto"/>
        <w:ind w:firstLine="480"/>
        <w:rPr>
          <w:rFonts w:hint="eastAsia" w:ascii="仿宋" w:hAnsi="仿宋" w:eastAsia="仿宋" w:cs="仿宋"/>
          <w:color w:val="auto"/>
          <w:sz w:val="24"/>
          <w:highlight w:val="none"/>
        </w:rPr>
      </w:pPr>
      <w:r>
        <w:rPr>
          <w:rFonts w:hint="eastAsia" w:ascii="仿宋" w:hAnsi="仿宋" w:eastAsia="仿宋" w:cs="仿宋"/>
          <w:color w:val="auto"/>
          <w:sz w:val="24"/>
          <w:highlight w:val="none"/>
        </w:rPr>
        <w:t>委托代理人无转委托权。</w:t>
      </w:r>
    </w:p>
    <w:p w14:paraId="5C936258">
      <w:pPr>
        <w:spacing w:line="360" w:lineRule="auto"/>
        <w:ind w:firstLine="480"/>
        <w:rPr>
          <w:rFonts w:hint="eastAsia" w:ascii="仿宋" w:hAnsi="仿宋" w:eastAsia="仿宋" w:cs="仿宋"/>
          <w:color w:val="auto"/>
          <w:sz w:val="24"/>
          <w:highlight w:val="none"/>
        </w:rPr>
      </w:pPr>
    </w:p>
    <w:p w14:paraId="786F061A">
      <w:pPr>
        <w:pStyle w:val="7"/>
        <w:rPr>
          <w:rFonts w:hint="eastAsia" w:ascii="仿宋" w:hAnsi="仿宋" w:eastAsia="仿宋" w:cs="仿宋"/>
          <w:color w:val="auto"/>
          <w:sz w:val="24"/>
          <w:highlight w:val="none"/>
        </w:rPr>
      </w:pPr>
    </w:p>
    <w:p w14:paraId="56B1E370">
      <w:pPr>
        <w:rPr>
          <w:rFonts w:hint="eastAsia" w:ascii="仿宋" w:hAnsi="仿宋" w:eastAsia="仿宋" w:cs="仿宋"/>
          <w:color w:val="auto"/>
          <w:highlight w:val="none"/>
        </w:rPr>
      </w:pPr>
    </w:p>
    <w:p w14:paraId="4BAD8FDB">
      <w:pPr>
        <w:spacing w:after="313" w:afterLines="100" w:line="520" w:lineRule="exact"/>
        <w:ind w:firstLine="3076" w:firstLineChars="128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响应单位</w:t>
      </w:r>
      <w:r>
        <w:rPr>
          <w:rFonts w:hint="eastAsia" w:ascii="仿宋" w:hAnsi="仿宋" w:eastAsia="仿宋" w:cs="仿宋"/>
          <w:color w:val="auto"/>
          <w:sz w:val="24"/>
          <w:highlight w:val="none"/>
        </w:rPr>
        <w:t>（单位公章）：</w:t>
      </w:r>
      <w:r>
        <w:rPr>
          <w:rFonts w:hint="eastAsia" w:ascii="仿宋" w:hAnsi="仿宋" w:eastAsia="仿宋" w:cs="仿宋"/>
          <w:color w:val="auto"/>
          <w:sz w:val="24"/>
          <w:highlight w:val="none"/>
          <w:u w:val="single"/>
        </w:rPr>
        <w:t xml:space="preserve">                            </w:t>
      </w:r>
    </w:p>
    <w:p w14:paraId="14001C77">
      <w:pPr>
        <w:spacing w:after="313" w:afterLines="100" w:line="520" w:lineRule="exact"/>
        <w:ind w:firstLine="3074" w:firstLineChars="1281"/>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w:t>
      </w:r>
      <w:r>
        <w:rPr>
          <w:rFonts w:hint="eastAsia" w:ascii="仿宋" w:hAnsi="仿宋" w:eastAsia="仿宋" w:cs="仿宋"/>
          <w:color w:val="auto"/>
          <w:sz w:val="24"/>
          <w:highlight w:val="none"/>
          <w:lang w:eastAsia="zh-CN"/>
        </w:rPr>
        <w:t>签名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60B64E42">
      <w:pPr>
        <w:spacing w:after="313" w:afterLines="100" w:line="520" w:lineRule="exact"/>
        <w:ind w:firstLine="3076" w:firstLineChars="1282"/>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授权代理人（</w:t>
      </w:r>
      <w:r>
        <w:rPr>
          <w:rFonts w:hint="eastAsia" w:ascii="仿宋" w:hAnsi="仿宋" w:eastAsia="仿宋" w:cs="仿宋"/>
          <w:color w:val="auto"/>
          <w:sz w:val="24"/>
          <w:highlight w:val="none"/>
          <w:lang w:eastAsia="zh-CN"/>
        </w:rPr>
        <w:t>签名</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p>
    <w:p w14:paraId="72F42FD6">
      <w:pPr>
        <w:spacing w:after="313" w:afterLines="100" w:line="520" w:lineRule="exact"/>
        <w:ind w:firstLine="4800" w:firstLineChars="20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33DE0F93">
      <w:pPr>
        <w:spacing w:line="360" w:lineRule="auto"/>
        <w:ind w:firstLine="480"/>
        <w:rPr>
          <w:rFonts w:hint="eastAsia" w:ascii="仿宋" w:hAnsi="仿宋" w:eastAsia="仿宋" w:cs="仿宋"/>
          <w:color w:val="auto"/>
          <w:sz w:val="24"/>
          <w:highlight w:val="none"/>
        </w:rPr>
      </w:pPr>
    </w:p>
    <w:p w14:paraId="64B5AA74">
      <w:pPr>
        <w:spacing w:line="360" w:lineRule="auto"/>
        <w:ind w:firstLine="480"/>
        <w:rPr>
          <w:rFonts w:hint="eastAsia" w:ascii="仿宋" w:hAnsi="仿宋" w:eastAsia="仿宋" w:cs="仿宋"/>
          <w:color w:val="auto"/>
          <w:sz w:val="24"/>
          <w:highlight w:val="none"/>
        </w:rPr>
      </w:pPr>
    </w:p>
    <w:p w14:paraId="777ADFA1">
      <w:pPr>
        <w:spacing w:line="360" w:lineRule="auto"/>
        <w:ind w:firstLine="480"/>
        <w:rPr>
          <w:rFonts w:hint="eastAsia" w:ascii="仿宋" w:hAnsi="仿宋" w:eastAsia="仿宋" w:cs="仿宋"/>
          <w:color w:val="auto"/>
          <w:sz w:val="24"/>
          <w:highlight w:val="none"/>
        </w:rPr>
      </w:pPr>
    </w:p>
    <w:p w14:paraId="052B3445">
      <w:pPr>
        <w:pStyle w:val="7"/>
        <w:rPr>
          <w:rFonts w:hint="eastAsia" w:ascii="仿宋" w:hAnsi="仿宋" w:eastAsia="仿宋" w:cs="仿宋"/>
          <w:color w:val="auto"/>
          <w:sz w:val="24"/>
          <w:highlight w:val="none"/>
        </w:rPr>
      </w:pPr>
    </w:p>
    <w:p w14:paraId="518B5F26">
      <w:pPr>
        <w:spacing w:line="360" w:lineRule="auto"/>
        <w:ind w:firstLine="480"/>
        <w:rPr>
          <w:rFonts w:hint="eastAsia" w:ascii="仿宋" w:hAnsi="仿宋" w:eastAsia="仿宋" w:cs="仿宋"/>
          <w:color w:val="auto"/>
          <w:sz w:val="24"/>
          <w:highlight w:val="none"/>
        </w:rPr>
      </w:pPr>
    </w:p>
    <w:p w14:paraId="0BF753E4">
      <w:pPr>
        <w:spacing w:line="360" w:lineRule="auto"/>
        <w:ind w:firstLine="480"/>
        <w:rPr>
          <w:rFonts w:hint="eastAsia" w:ascii="仿宋" w:hAnsi="仿宋" w:eastAsia="仿宋" w:cs="仿宋"/>
          <w:color w:val="auto"/>
          <w:sz w:val="24"/>
          <w:highlight w:val="none"/>
        </w:rPr>
      </w:pPr>
    </w:p>
    <w:p w14:paraId="29DB1024">
      <w:pPr>
        <w:spacing w:line="360" w:lineRule="auto"/>
        <w:ind w:firstLine="0"/>
        <w:rPr>
          <w:rFonts w:hint="eastAsia" w:ascii="仿宋" w:hAnsi="仿宋" w:eastAsia="仿宋" w:cs="仿宋"/>
          <w:b/>
          <w:bCs/>
          <w:color w:val="auto"/>
          <w:sz w:val="24"/>
          <w:highlight w:val="none"/>
        </w:rPr>
      </w:pPr>
    </w:p>
    <w:p w14:paraId="4394C6BA">
      <w:pPr>
        <w:spacing w:line="360" w:lineRule="auto"/>
        <w:ind w:firstLine="0"/>
        <w:rPr>
          <w:rFonts w:hint="eastAsia" w:ascii="仿宋" w:hAnsi="仿宋" w:eastAsia="仿宋" w:cs="仿宋"/>
          <w:b/>
          <w:bCs/>
          <w:color w:val="auto"/>
          <w:sz w:val="24"/>
          <w:highlight w:val="none"/>
        </w:rPr>
      </w:pPr>
    </w:p>
    <w:p w14:paraId="43BE0B12">
      <w:pPr>
        <w:spacing w:line="360" w:lineRule="auto"/>
        <w:ind w:firstLine="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附：法定代表人身份证复印件及委托代理人身份证复印件</w:t>
      </w:r>
    </w:p>
    <w:p w14:paraId="75F01813">
      <w:pPr>
        <w:spacing w:line="360" w:lineRule="auto"/>
        <w:ind w:firstLine="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注：本授权委托书需由</w:t>
      </w:r>
      <w:r>
        <w:rPr>
          <w:rFonts w:hint="eastAsia" w:ascii="仿宋" w:hAnsi="仿宋" w:eastAsia="仿宋" w:cs="仿宋"/>
          <w:b/>
          <w:bCs/>
          <w:color w:val="auto"/>
          <w:sz w:val="24"/>
          <w:highlight w:val="none"/>
          <w:lang w:val="en-US" w:eastAsia="zh-CN"/>
        </w:rPr>
        <w:t>响应单位</w:t>
      </w:r>
      <w:r>
        <w:rPr>
          <w:rFonts w:hint="eastAsia" w:ascii="仿宋" w:hAnsi="仿宋" w:eastAsia="仿宋" w:cs="仿宋"/>
          <w:b/>
          <w:bCs/>
          <w:color w:val="auto"/>
          <w:sz w:val="24"/>
          <w:highlight w:val="none"/>
        </w:rPr>
        <w:t>加盖</w:t>
      </w:r>
      <w:r>
        <w:rPr>
          <w:rFonts w:hint="eastAsia" w:ascii="仿宋" w:hAnsi="仿宋" w:eastAsia="仿宋" w:cs="仿宋"/>
          <w:b/>
          <w:bCs/>
          <w:color w:val="auto"/>
          <w:sz w:val="24"/>
          <w:highlight w:val="none"/>
          <w:lang w:val="en-US" w:eastAsia="zh-CN"/>
        </w:rPr>
        <w:t>公司</w:t>
      </w:r>
      <w:r>
        <w:rPr>
          <w:rFonts w:hint="eastAsia" w:ascii="仿宋" w:hAnsi="仿宋" w:eastAsia="仿宋" w:cs="仿宋"/>
          <w:b/>
          <w:bCs/>
          <w:color w:val="auto"/>
          <w:sz w:val="24"/>
          <w:highlight w:val="none"/>
        </w:rPr>
        <w:t>公章并由其法定代表人</w:t>
      </w:r>
      <w:r>
        <w:rPr>
          <w:rFonts w:hint="eastAsia" w:ascii="仿宋" w:hAnsi="仿宋" w:eastAsia="仿宋" w:cs="仿宋"/>
          <w:b/>
          <w:bCs/>
          <w:color w:val="auto"/>
          <w:sz w:val="24"/>
          <w:highlight w:val="none"/>
          <w:lang w:eastAsia="zh-CN"/>
        </w:rPr>
        <w:t>签名</w:t>
      </w:r>
      <w:r>
        <w:rPr>
          <w:rFonts w:hint="eastAsia" w:ascii="仿宋" w:hAnsi="仿宋" w:eastAsia="仿宋" w:cs="仿宋"/>
          <w:b/>
          <w:bCs/>
          <w:color w:val="auto"/>
          <w:sz w:val="24"/>
          <w:highlight w:val="none"/>
        </w:rPr>
        <w:t>。</w:t>
      </w:r>
    </w:p>
    <w:p w14:paraId="01B6ABDA">
      <w:pPr>
        <w:spacing w:before="0" w:beforeLines="-2147483648" w:after="0" w:afterLines="-2147483648" w:line="240" w:lineRule="auto"/>
        <w:jc w:val="left"/>
        <w:outlineLvl w:val="9"/>
        <w:rPr>
          <w:rFonts w:hint="eastAsia" w:ascii="仿宋" w:hAnsi="仿宋" w:eastAsia="仿宋" w:cs="仿宋"/>
          <w:b/>
          <w:bCs w:val="0"/>
          <w:color w:val="auto"/>
          <w:sz w:val="30"/>
          <w:szCs w:val="30"/>
          <w:highlight w:val="none"/>
        </w:rPr>
      </w:pPr>
      <w:bookmarkStart w:id="105" w:name="_Toc2864"/>
      <w:r>
        <w:rPr>
          <w:rFonts w:hint="eastAsia" w:ascii="仿宋" w:hAnsi="仿宋" w:eastAsia="仿宋" w:cs="仿宋"/>
          <w:b/>
          <w:bCs w:val="0"/>
          <w:color w:val="auto"/>
          <w:sz w:val="30"/>
          <w:szCs w:val="30"/>
          <w:highlight w:val="none"/>
        </w:rPr>
        <w:br w:type="page"/>
      </w:r>
    </w:p>
    <w:p w14:paraId="05A77D83">
      <w:pPr>
        <w:spacing w:before="200" w:beforeLines="0" w:after="200" w:afterLines="0" w:line="560" w:lineRule="exact"/>
        <w:jc w:val="center"/>
        <w:outlineLvl w:val="1"/>
        <w:rPr>
          <w:rFonts w:hint="eastAsia" w:ascii="仿宋" w:hAnsi="仿宋" w:eastAsia="仿宋" w:cs="仿宋"/>
          <w:b/>
          <w:bCs w:val="0"/>
          <w:color w:val="auto"/>
          <w:sz w:val="30"/>
          <w:szCs w:val="30"/>
          <w:highlight w:val="none"/>
        </w:rPr>
      </w:pPr>
      <w:bookmarkStart w:id="106" w:name="_Toc2516"/>
      <w:r>
        <w:rPr>
          <w:rFonts w:hint="eastAsia" w:ascii="仿宋" w:hAnsi="仿宋" w:eastAsia="仿宋" w:cs="仿宋"/>
          <w:b/>
          <w:bCs w:val="0"/>
          <w:color w:val="auto"/>
          <w:sz w:val="30"/>
          <w:szCs w:val="30"/>
          <w:highlight w:val="none"/>
        </w:rPr>
        <w:t>信誉承诺表</w:t>
      </w:r>
      <w:bookmarkEnd w:id="105"/>
      <w:bookmarkEnd w:id="106"/>
    </w:p>
    <w:p w14:paraId="78EC964A">
      <w:pPr>
        <w:ind w:firstLine="480"/>
        <w:rPr>
          <w:rFonts w:hint="eastAsia" w:ascii="仿宋" w:hAnsi="仿宋" w:eastAsia="仿宋" w:cs="仿宋"/>
          <w:color w:val="auto"/>
          <w:szCs w:val="24"/>
          <w:highlight w:val="none"/>
        </w:rPr>
      </w:pPr>
    </w:p>
    <w:tbl>
      <w:tblPr>
        <w:tblStyle w:val="23"/>
        <w:tblW w:w="832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50"/>
        <w:gridCol w:w="5849"/>
        <w:gridCol w:w="1422"/>
      </w:tblGrid>
      <w:tr w14:paraId="17597E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6" w:hRule="atLeast"/>
          <w:tblHeader/>
          <w:jc w:val="center"/>
        </w:trPr>
        <w:tc>
          <w:tcPr>
            <w:tcW w:w="1050" w:type="dxa"/>
            <w:tcBorders>
              <w:top w:val="single" w:color="auto" w:sz="12" w:space="0"/>
              <w:left w:val="single" w:color="auto" w:sz="12" w:space="0"/>
              <w:bottom w:val="single" w:color="auto" w:sz="6" w:space="0"/>
              <w:right w:val="single" w:color="auto" w:sz="6" w:space="0"/>
            </w:tcBorders>
            <w:vAlign w:val="center"/>
          </w:tcPr>
          <w:p w14:paraId="2F01D91B">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5849" w:type="dxa"/>
            <w:tcBorders>
              <w:top w:val="single" w:color="auto" w:sz="12" w:space="0"/>
              <w:left w:val="single" w:color="auto" w:sz="6" w:space="0"/>
              <w:bottom w:val="single" w:color="auto" w:sz="6" w:space="0"/>
              <w:right w:val="single" w:color="auto" w:sz="6" w:space="0"/>
            </w:tcBorders>
            <w:vAlign w:val="center"/>
          </w:tcPr>
          <w:p w14:paraId="1B5C6C98">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信誉内容</w:t>
            </w:r>
          </w:p>
        </w:tc>
        <w:tc>
          <w:tcPr>
            <w:tcW w:w="1422" w:type="dxa"/>
            <w:tcBorders>
              <w:top w:val="single" w:color="auto" w:sz="12" w:space="0"/>
              <w:left w:val="single" w:color="auto" w:sz="6" w:space="0"/>
              <w:bottom w:val="single" w:color="auto" w:sz="6" w:space="0"/>
              <w:right w:val="single" w:color="auto" w:sz="12" w:space="0"/>
            </w:tcBorders>
            <w:vAlign w:val="center"/>
          </w:tcPr>
          <w:p w14:paraId="55C37B12">
            <w:pPr>
              <w:adjustRightInd w:val="0"/>
              <w:snapToGrid w:val="0"/>
              <w:spacing w:line="240" w:lineRule="auto"/>
              <w:ind w:left="0" w:leftChars="0" w:right="0" w:rightChars="0" w:firstLine="0" w:firstLineChars="0"/>
              <w:jc w:val="center"/>
              <w:rPr>
                <w:rFonts w:hint="eastAsia" w:ascii="仿宋" w:hAnsi="仿宋" w:eastAsia="仿宋" w:cs="仿宋"/>
                <w:b/>
                <w:color w:val="auto"/>
                <w:szCs w:val="21"/>
                <w:highlight w:val="none"/>
              </w:rPr>
            </w:pP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color w:val="auto"/>
                <w:szCs w:val="21"/>
                <w:highlight w:val="none"/>
              </w:rPr>
              <w:t>情况说明</w:t>
            </w:r>
          </w:p>
        </w:tc>
      </w:tr>
      <w:tr w14:paraId="11A82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93"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28AD9606">
            <w:pPr>
              <w:autoSpaceDE w:val="0"/>
              <w:autoSpaceDN w:val="0"/>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5849" w:type="dxa"/>
            <w:tcBorders>
              <w:top w:val="single" w:color="auto" w:sz="6" w:space="0"/>
              <w:left w:val="single" w:color="auto" w:sz="6" w:space="0"/>
              <w:bottom w:val="single" w:color="auto" w:sz="6" w:space="0"/>
              <w:right w:val="single" w:color="auto" w:sz="6" w:space="0"/>
            </w:tcBorders>
            <w:vAlign w:val="center"/>
          </w:tcPr>
          <w:p w14:paraId="2137629E">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被责令停业，暂扣或吊销执照，或吊销资质证书</w:t>
            </w:r>
          </w:p>
        </w:tc>
        <w:tc>
          <w:tcPr>
            <w:tcW w:w="1422" w:type="dxa"/>
            <w:tcBorders>
              <w:top w:val="single" w:color="auto" w:sz="6" w:space="0"/>
              <w:left w:val="single" w:color="auto" w:sz="6" w:space="0"/>
              <w:bottom w:val="single" w:color="auto" w:sz="6" w:space="0"/>
              <w:right w:val="single" w:color="auto" w:sz="12" w:space="0"/>
            </w:tcBorders>
            <w:vAlign w:val="center"/>
          </w:tcPr>
          <w:p w14:paraId="45B9E3C2">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6FD2AB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4"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3358947C">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5849" w:type="dxa"/>
            <w:tcBorders>
              <w:top w:val="single" w:color="auto" w:sz="6" w:space="0"/>
              <w:left w:val="single" w:color="auto" w:sz="6" w:space="0"/>
              <w:bottom w:val="single" w:color="auto" w:sz="6" w:space="0"/>
              <w:right w:val="single" w:color="auto" w:sz="6" w:space="0"/>
            </w:tcBorders>
            <w:vAlign w:val="center"/>
          </w:tcPr>
          <w:p w14:paraId="68C77CFF">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进入清算程序，或被宣告破产，或其他丧失履约能力的情形</w:t>
            </w:r>
          </w:p>
        </w:tc>
        <w:tc>
          <w:tcPr>
            <w:tcW w:w="1422" w:type="dxa"/>
            <w:tcBorders>
              <w:top w:val="single" w:color="auto" w:sz="6" w:space="0"/>
              <w:left w:val="single" w:color="auto" w:sz="6" w:space="0"/>
              <w:bottom w:val="single" w:color="auto" w:sz="6" w:space="0"/>
              <w:right w:val="single" w:color="auto" w:sz="12" w:space="0"/>
            </w:tcBorders>
            <w:vAlign w:val="center"/>
          </w:tcPr>
          <w:p w14:paraId="09E1954E">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1474A3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05" w:hRule="atLeast"/>
          <w:jc w:val="center"/>
        </w:trPr>
        <w:tc>
          <w:tcPr>
            <w:tcW w:w="1050" w:type="dxa"/>
            <w:tcBorders>
              <w:top w:val="single" w:color="auto" w:sz="6" w:space="0"/>
              <w:left w:val="single" w:color="auto" w:sz="12" w:space="0"/>
              <w:bottom w:val="single" w:color="auto" w:sz="6" w:space="0"/>
              <w:right w:val="single" w:color="auto" w:sz="6" w:space="0"/>
            </w:tcBorders>
            <w:vAlign w:val="center"/>
          </w:tcPr>
          <w:p w14:paraId="75A98CAB">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3</w:t>
            </w:r>
          </w:p>
        </w:tc>
        <w:tc>
          <w:tcPr>
            <w:tcW w:w="5849" w:type="dxa"/>
            <w:tcBorders>
              <w:top w:val="single" w:color="auto" w:sz="6" w:space="0"/>
              <w:left w:val="single" w:color="auto" w:sz="6" w:space="0"/>
              <w:bottom w:val="single" w:color="auto" w:sz="6" w:space="0"/>
              <w:right w:val="single" w:color="auto" w:sz="6" w:space="0"/>
            </w:tcBorders>
            <w:vAlign w:val="center"/>
          </w:tcPr>
          <w:p w14:paraId="75F7E539">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在国家企业信用信息公示系统</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"http://www.gsxt.gov.cn/" </w:instrText>
            </w:r>
            <w:r>
              <w:rPr>
                <w:rFonts w:hint="eastAsia" w:ascii="仿宋" w:hAnsi="仿宋" w:eastAsia="仿宋" w:cs="仿宋"/>
                <w:color w:val="auto"/>
                <w:highlight w:val="none"/>
              </w:rPr>
              <w:fldChar w:fldCharType="separate"/>
            </w:r>
            <w:r>
              <w:rPr>
                <w:rStyle w:val="27"/>
                <w:rFonts w:hint="eastAsia" w:ascii="仿宋" w:hAnsi="仿宋" w:eastAsia="仿宋" w:cs="仿宋"/>
                <w:color w:val="auto"/>
                <w:sz w:val="24"/>
                <w:szCs w:val="26"/>
                <w:highlight w:val="none"/>
              </w:rPr>
              <w:t>（http://www.gsxt.gov.cn</w:t>
            </w:r>
            <w:r>
              <w:rPr>
                <w:rStyle w:val="30"/>
                <w:rFonts w:hint="eastAsia" w:ascii="仿宋" w:hAnsi="仿宋" w:eastAsia="仿宋" w:cs="仿宋"/>
                <w:color w:val="auto"/>
                <w:sz w:val="24"/>
                <w:szCs w:val="26"/>
                <w:highlight w:val="none"/>
              </w:rPr>
              <w:fldChar w:fldCharType="end"/>
            </w:r>
            <w:r>
              <w:rPr>
                <w:rFonts w:hint="eastAsia" w:ascii="仿宋" w:hAnsi="仿宋" w:eastAsia="仿宋" w:cs="仿宋"/>
                <w:color w:val="auto"/>
                <w:sz w:val="24"/>
                <w:szCs w:val="26"/>
                <w:highlight w:val="none"/>
              </w:rPr>
              <w:t>）中被列入严重违法失信企业名单</w:t>
            </w:r>
          </w:p>
        </w:tc>
        <w:tc>
          <w:tcPr>
            <w:tcW w:w="1422" w:type="dxa"/>
            <w:tcBorders>
              <w:top w:val="single" w:color="auto" w:sz="6" w:space="0"/>
              <w:left w:val="single" w:color="auto" w:sz="6" w:space="0"/>
              <w:bottom w:val="single" w:color="auto" w:sz="6" w:space="0"/>
              <w:right w:val="single" w:color="auto" w:sz="12" w:space="0"/>
            </w:tcBorders>
            <w:vAlign w:val="center"/>
          </w:tcPr>
          <w:p w14:paraId="79C00BB6">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r w14:paraId="6CD770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88" w:hRule="atLeast"/>
          <w:jc w:val="center"/>
        </w:trPr>
        <w:tc>
          <w:tcPr>
            <w:tcW w:w="1050" w:type="dxa"/>
            <w:tcBorders>
              <w:top w:val="single" w:color="auto" w:sz="6" w:space="0"/>
              <w:left w:val="single" w:color="auto" w:sz="12" w:space="0"/>
              <w:bottom w:val="single" w:color="auto" w:sz="12" w:space="0"/>
              <w:right w:val="single" w:color="auto" w:sz="6" w:space="0"/>
            </w:tcBorders>
            <w:vAlign w:val="center"/>
          </w:tcPr>
          <w:p w14:paraId="2D8007C6">
            <w:pPr>
              <w:adjustRightInd w:val="0"/>
              <w:snapToGrid w:val="0"/>
              <w:spacing w:line="240" w:lineRule="auto"/>
              <w:ind w:left="0" w:leftChars="0" w:right="0" w:rightChars="0" w:firstLine="0" w:firstLineChars="0"/>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4</w:t>
            </w:r>
          </w:p>
        </w:tc>
        <w:tc>
          <w:tcPr>
            <w:tcW w:w="5849" w:type="dxa"/>
            <w:tcBorders>
              <w:top w:val="single" w:color="auto" w:sz="6" w:space="0"/>
              <w:left w:val="single" w:color="auto" w:sz="6" w:space="0"/>
              <w:bottom w:val="single" w:color="auto" w:sz="12" w:space="0"/>
              <w:right w:val="single" w:color="auto" w:sz="6" w:space="0"/>
            </w:tcBorders>
            <w:vAlign w:val="center"/>
          </w:tcPr>
          <w:p w14:paraId="6351EF78">
            <w:pPr>
              <w:autoSpaceDE w:val="0"/>
              <w:autoSpaceDN w:val="0"/>
              <w:adjustRightInd w:val="0"/>
              <w:snapToGrid w:val="0"/>
              <w:ind w:left="0" w:leftChars="0" w:right="0" w:rightChars="0" w:firstLine="0" w:firstLineChars="0"/>
              <w:jc w:val="center"/>
              <w:rPr>
                <w:rFonts w:hint="eastAsia" w:ascii="仿宋" w:hAnsi="仿宋" w:eastAsia="仿宋" w:cs="仿宋"/>
                <w:color w:val="auto"/>
                <w:sz w:val="24"/>
                <w:szCs w:val="26"/>
                <w:highlight w:val="none"/>
              </w:rPr>
            </w:pPr>
            <w:r>
              <w:rPr>
                <w:rFonts w:hint="eastAsia" w:ascii="仿宋" w:hAnsi="仿宋" w:eastAsia="仿宋" w:cs="仿宋"/>
                <w:color w:val="auto"/>
                <w:szCs w:val="26"/>
                <w:highlight w:val="none"/>
              </w:rPr>
              <w:t>是否</w:t>
            </w:r>
            <w:r>
              <w:rPr>
                <w:rFonts w:hint="eastAsia" w:ascii="仿宋" w:hAnsi="仿宋" w:eastAsia="仿宋" w:cs="仿宋"/>
                <w:color w:val="auto"/>
                <w:sz w:val="24"/>
                <w:szCs w:val="26"/>
                <w:highlight w:val="none"/>
              </w:rPr>
              <w:t>在信用中国网站（</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"http://www.creditchina.gov.cn/" </w:instrText>
            </w:r>
            <w:r>
              <w:rPr>
                <w:rFonts w:hint="eastAsia" w:ascii="仿宋" w:hAnsi="仿宋" w:eastAsia="仿宋" w:cs="仿宋"/>
                <w:color w:val="auto"/>
                <w:highlight w:val="none"/>
              </w:rPr>
              <w:fldChar w:fldCharType="separate"/>
            </w:r>
            <w:r>
              <w:rPr>
                <w:rStyle w:val="27"/>
                <w:rFonts w:hint="eastAsia" w:ascii="仿宋" w:hAnsi="仿宋" w:eastAsia="仿宋" w:cs="仿宋"/>
                <w:color w:val="auto"/>
                <w:sz w:val="24"/>
                <w:szCs w:val="26"/>
                <w:highlight w:val="none"/>
              </w:rPr>
              <w:t>http://www.creditchina.gov.cn</w:t>
            </w:r>
            <w:r>
              <w:rPr>
                <w:rStyle w:val="30"/>
                <w:rFonts w:hint="eastAsia" w:ascii="仿宋" w:hAnsi="仿宋" w:eastAsia="仿宋" w:cs="仿宋"/>
                <w:color w:val="auto"/>
                <w:sz w:val="24"/>
                <w:szCs w:val="26"/>
                <w:highlight w:val="none"/>
              </w:rPr>
              <w:fldChar w:fldCharType="end"/>
            </w:r>
            <w:r>
              <w:rPr>
                <w:rFonts w:hint="eastAsia" w:ascii="仿宋" w:hAnsi="仿宋" w:eastAsia="仿宋" w:cs="仿宋"/>
                <w:color w:val="auto"/>
                <w:sz w:val="24"/>
                <w:szCs w:val="26"/>
                <w:highlight w:val="none"/>
              </w:rPr>
              <w:t>）中被列入失信被执行人名单</w:t>
            </w:r>
          </w:p>
        </w:tc>
        <w:tc>
          <w:tcPr>
            <w:tcW w:w="1422" w:type="dxa"/>
            <w:tcBorders>
              <w:top w:val="single" w:color="auto" w:sz="6" w:space="0"/>
              <w:left w:val="single" w:color="auto" w:sz="6" w:space="0"/>
              <w:bottom w:val="single" w:color="auto" w:sz="12" w:space="0"/>
              <w:right w:val="single" w:color="auto" w:sz="12" w:space="0"/>
            </w:tcBorders>
            <w:vAlign w:val="center"/>
          </w:tcPr>
          <w:p w14:paraId="20A6E15E">
            <w:pPr>
              <w:adjustRightInd w:val="0"/>
              <w:snapToGrid w:val="0"/>
              <w:spacing w:line="240" w:lineRule="auto"/>
              <w:ind w:left="0" w:leftChars="0" w:right="0" w:rightChars="0" w:firstLine="0" w:firstLineChars="0"/>
              <w:jc w:val="left"/>
              <w:rPr>
                <w:rFonts w:hint="eastAsia" w:ascii="仿宋" w:hAnsi="仿宋" w:eastAsia="仿宋" w:cs="仿宋"/>
                <w:color w:val="auto"/>
                <w:szCs w:val="21"/>
                <w:highlight w:val="none"/>
              </w:rPr>
            </w:pPr>
          </w:p>
        </w:tc>
      </w:tr>
    </w:tbl>
    <w:p w14:paraId="0C7EC141">
      <w:pPr>
        <w:spacing w:line="320" w:lineRule="exact"/>
        <w:jc w:val="left"/>
        <w:rPr>
          <w:rFonts w:hint="eastAsia" w:ascii="仿宋" w:hAnsi="仿宋" w:eastAsia="仿宋" w:cs="仿宋"/>
          <w:color w:val="auto"/>
          <w:szCs w:val="21"/>
          <w:highlight w:val="none"/>
        </w:rPr>
      </w:pPr>
    </w:p>
    <w:p w14:paraId="1DEFD3A4">
      <w:pPr>
        <w:spacing w:line="320" w:lineRule="exact"/>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注：</w:t>
      </w:r>
    </w:p>
    <w:p w14:paraId="5E0F140F">
      <w:pPr>
        <w:spacing w:line="320" w:lineRule="exact"/>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1.</w:t>
      </w: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bCs/>
          <w:color w:val="auto"/>
          <w:szCs w:val="21"/>
          <w:highlight w:val="none"/>
        </w:rPr>
        <w:t>情况说明请填写“是”或“否”。</w:t>
      </w:r>
    </w:p>
    <w:p w14:paraId="3AEDB2F3">
      <w:pPr>
        <w:spacing w:after="625" w:afterLines="200" w:line="520" w:lineRule="exact"/>
        <w:rPr>
          <w:rFonts w:hint="eastAsia" w:ascii="仿宋" w:hAnsi="仿宋" w:eastAsia="仿宋" w:cs="仿宋"/>
          <w:b/>
          <w:bCs/>
          <w:color w:val="auto"/>
          <w:highlight w:val="none"/>
        </w:rPr>
      </w:pPr>
      <w:r>
        <w:rPr>
          <w:rFonts w:hint="eastAsia" w:ascii="仿宋" w:hAnsi="仿宋" w:eastAsia="仿宋" w:cs="仿宋"/>
          <w:b/>
          <w:bCs/>
          <w:color w:val="auto"/>
          <w:szCs w:val="21"/>
          <w:highlight w:val="none"/>
        </w:rPr>
        <w:t>2.</w:t>
      </w:r>
      <w:r>
        <w:rPr>
          <w:rFonts w:hint="eastAsia" w:ascii="仿宋" w:hAnsi="仿宋" w:eastAsia="仿宋" w:cs="仿宋"/>
          <w:b/>
          <w:bCs/>
          <w:color w:val="auto"/>
          <w:szCs w:val="21"/>
          <w:highlight w:val="none"/>
          <w:lang w:val="en-US" w:eastAsia="zh-CN"/>
        </w:rPr>
        <w:t>响应单位</w:t>
      </w:r>
      <w:r>
        <w:rPr>
          <w:rFonts w:hint="eastAsia" w:ascii="仿宋" w:hAnsi="仿宋" w:eastAsia="仿宋" w:cs="仿宋"/>
          <w:b/>
          <w:bCs/>
          <w:color w:val="auto"/>
          <w:szCs w:val="21"/>
          <w:highlight w:val="none"/>
        </w:rPr>
        <w:t>应如实填写本表，如隐瞒真实情况，一旦发现将取消其签约资格。</w:t>
      </w:r>
    </w:p>
    <w:p w14:paraId="06DE1F0A">
      <w:pPr>
        <w:tabs>
          <w:tab w:val="left" w:pos="7460"/>
          <w:tab w:val="left" w:pos="8080"/>
          <w:tab w:val="left" w:pos="8800"/>
        </w:tabs>
        <w:autoSpaceDE w:val="0"/>
        <w:autoSpaceDN w:val="0"/>
        <w:adjustRightInd w:val="0"/>
        <w:spacing w:after="313" w:afterLines="100" w:line="520" w:lineRule="exact"/>
        <w:ind w:left="3360" w:leftChars="1400" w:right="61"/>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承诺人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公章</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3354FA1E">
      <w:pPr>
        <w:tabs>
          <w:tab w:val="left" w:pos="7460"/>
          <w:tab w:val="left" w:pos="8080"/>
          <w:tab w:val="left" w:pos="8800"/>
        </w:tabs>
        <w:autoSpaceDE w:val="0"/>
        <w:autoSpaceDN w:val="0"/>
        <w:adjustRightInd w:val="0"/>
        <w:spacing w:after="313" w:afterLines="100" w:line="520" w:lineRule="exact"/>
        <w:ind w:left="3360" w:leftChars="1400" w:right="61"/>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法定代表人或其委托代理人</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签名</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rPr>
        <w:tab/>
      </w:r>
      <w:r>
        <w:rPr>
          <w:rFonts w:hint="eastAsia" w:ascii="仿宋" w:hAnsi="仿宋" w:eastAsia="仿宋" w:cs="仿宋"/>
          <w:color w:val="auto"/>
          <w:sz w:val="24"/>
          <w:highlight w:val="none"/>
        </w:rPr>
        <w:t xml:space="preserve"> </w:t>
      </w:r>
    </w:p>
    <w:p w14:paraId="6F263689">
      <w:pPr>
        <w:spacing w:after="313" w:afterLines="100" w:line="520" w:lineRule="exact"/>
        <w:ind w:left="3360" w:leftChars="1400" w:firstLine="0" w:firstLineChars="0"/>
        <w:rPr>
          <w:rFonts w:hint="eastAsia"/>
          <w:lang w:val="en-US" w:eastAsia="zh-CN"/>
        </w:rPr>
      </w:pPr>
      <w:r>
        <w:rPr>
          <w:rFonts w:hint="eastAsia" w:ascii="仿宋" w:hAnsi="仿宋" w:eastAsia="仿宋" w:cs="仿宋"/>
          <w:color w:val="auto"/>
          <w:sz w:val="24"/>
          <w:highlight w:val="none"/>
        </w:rPr>
        <w:t>承诺时间：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bookmarkStart w:id="107" w:name="评标细则"/>
      <w:bookmarkEnd w:id="107"/>
    </w:p>
    <w:sectPr>
      <w:headerReference r:id="rId5" w:type="default"/>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2020603050405020304"/>
    <w:charset w:val="00"/>
    <w:family w:val="roman"/>
    <w:pitch w:val="default"/>
    <w:sig w:usb0="00000000" w:usb1="00000000" w:usb2="00000000" w:usb3="00000000" w:csb0="00000093"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59D2A">
    <w:pPr>
      <w:pStyle w:val="15"/>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950CC">
    <w:pPr>
      <w:pStyle w:val="15"/>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3"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14:paraId="5499E90C">
                          <w:pPr>
                            <w:pStyle w:val="15"/>
                          </w:pPr>
                          <w:r>
                            <w:fldChar w:fldCharType="begin"/>
                          </w:r>
                          <w:r>
                            <w:instrText xml:space="preserve"> PAGE  \* MERGEFORMAT </w:instrText>
                          </w:r>
                          <w:r>
                            <w:fldChar w:fldCharType="separate"/>
                          </w:r>
                          <w:r>
                            <w:rPr>
                              <w:lang w:val="en-US" w:eastAsia="zh-CN"/>
                            </w:rPr>
                            <w:t>1</w:t>
                          </w:r>
                          <w:r>
                            <w:fldChar w:fldCharType="end"/>
                          </w:r>
                        </w:p>
                      </w:txbxContent>
                    </wps:txbx>
                    <wps:bodyPr rot="0" vert="horz" wrap="none" lIns="0" tIns="0" rIns="0" bIns="0" anchor="t" anchorCtr="0" upright="1">
                      <a:spAutoFit/>
                    </wps:bodyPr>
                  </wps:wsp>
                </a:graphicData>
              </a:graphic>
            </wp:anchor>
          </w:drawing>
        </mc:Choice>
        <mc:Fallback>
          <w:pict>
            <v:shape id="文本框 7"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tbuXfQAAAAAgEAAA8AAAAAAAAAAQAgAAAAIgAAAGRycy9k&#10;b3ducmV2LnhtbFBLAQIUABQAAAAIAIdO4kB87YD+CgIAAAEEAAAOAAAAAAAAAAEAIAAAAB8BAABk&#10;cnMvZTJvRG9jLnhtbFBLBQYAAAAABgAGAFkBAACbBQAAAAA=&#10;">
              <v:fill on="f" focussize="0,0"/>
              <v:stroke on="f"/>
              <v:imagedata o:title=""/>
              <o:lock v:ext="edit" aspectratio="f"/>
              <v:textbox inset="0mm,0mm,0mm,0mm" style="mso-fit-shape-to-text:t;">
                <w:txbxContent>
                  <w:p w14:paraId="5499E90C">
                    <w:pPr>
                      <w:pStyle w:val="15"/>
                    </w:pPr>
                    <w:r>
                      <w:fldChar w:fldCharType="begin"/>
                    </w:r>
                    <w:r>
                      <w:instrText xml:space="preserve"> PAGE  \* MERGEFORMAT </w:instrText>
                    </w:r>
                    <w:r>
                      <w:fldChar w:fldCharType="separate"/>
                    </w:r>
                    <w:r>
                      <w:rPr>
                        <w:lang w:val="en-US" w:eastAsia="zh-CN"/>
                      </w:rP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7B11F">
    <w:pPr>
      <w:pStyle w:val="1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ffectLst/>
                    </wps:spPr>
                    <wps:txbx>
                      <w:txbxContent>
                        <w:p w14:paraId="123B4906">
                          <w:pPr>
                            <w:pStyle w:val="15"/>
                          </w:pPr>
                          <w:r>
                            <w:fldChar w:fldCharType="begin"/>
                          </w:r>
                          <w:r>
                            <w:instrText xml:space="preserve"> PAGE  \* MERGEFORMAT </w:instrText>
                          </w:r>
                          <w:r>
                            <w:fldChar w:fldCharType="separate"/>
                          </w:r>
                          <w:r>
                            <w:rPr>
                              <w:lang w:val="en-US" w:eastAsia="zh-CN"/>
                            </w:rPr>
                            <w:t>5</w:t>
                          </w:r>
                          <w:r>
                            <w:fldChar w:fldCharType="end"/>
                          </w:r>
                        </w:p>
                      </w:txbxContent>
                    </wps:txbx>
                    <wps:bodyPr rot="0" vert="horz" wrap="none" lIns="0" tIns="0" rIns="0" bIns="0" anchor="t" anchorCtr="0" upright="1">
                      <a:spAutoFit/>
                    </wps:bodyPr>
                  </wps:wsp>
                </a:graphicData>
              </a:graphic>
            </wp:anchor>
          </w:drawing>
        </mc:Choice>
        <mc:Fallback>
          <w:pict>
            <v:shape id="文本框 5"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&#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tbuXfQAAAAAgEAAA8AAAAAAAAAAQAgAAAAIgAAAGRy&#10;cy9kb3ducmV2LnhtbFBLAQIUABQAAAAIAIdO4kD+pCZHDQIAAA8EAAAOAAAAAAAAAAEAIAAAAB8B&#10;AABkcnMvZTJvRG9jLnhtbFBLBQYAAAAABgAGAFkBAACeBQAAAAA=&#10;">
              <v:fill on="f" focussize="0,0"/>
              <v:stroke on="f"/>
              <v:imagedata o:title=""/>
              <o:lock v:ext="edit" aspectratio="f"/>
              <v:textbox inset="0mm,0mm,0mm,0mm" style="mso-fit-shape-to-text:t;">
                <w:txbxContent>
                  <w:p w14:paraId="123B4906">
                    <w:pPr>
                      <w:pStyle w:val="15"/>
                    </w:pPr>
                    <w:r>
                      <w:fldChar w:fldCharType="begin"/>
                    </w:r>
                    <w:r>
                      <w:instrText xml:space="preserve"> PAGE  \* MERGEFORMAT </w:instrText>
                    </w:r>
                    <w:r>
                      <w:fldChar w:fldCharType="separate"/>
                    </w:r>
                    <w:r>
                      <w:rPr>
                        <w:lang w:val="en-US" w:eastAsia="zh-CN"/>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63549">
    <w:pPr>
      <w:pStyle w:val="16"/>
    </w:pPr>
  </w:p>
  <w:p w14:paraId="772D1260">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3ECD27"/>
    <w:multiLevelType w:val="multilevel"/>
    <w:tmpl w:val="A73ECD27"/>
    <w:lvl w:ilvl="0" w:tentative="0">
      <w:start w:val="1"/>
      <w:numFmt w:val="none"/>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suff w:val="nothing"/>
      <w:lvlText w:val="%2."/>
      <w:lvlJc w:val="left"/>
      <w:pPr>
        <w:tabs>
          <w:tab w:val="left" w:pos="0"/>
        </w:tabs>
        <w:ind w:left="0" w:firstLine="402"/>
      </w:pPr>
      <w:rPr>
        <w:rFonts w:hint="default" w:ascii="宋体" w:hAnsi="宋体" w:eastAsia="宋体" w:cs="宋体"/>
        <w:sz w:val="36"/>
      </w:rPr>
    </w:lvl>
    <w:lvl w:ilvl="2" w:tentative="0">
      <w:start w:val="1"/>
      <w:numFmt w:val="decimal"/>
      <w:suff w:val="nothing"/>
      <w:lvlText w:val="%3.1"/>
      <w:lvlJc w:val="left"/>
      <w:pPr>
        <w:ind w:left="0" w:firstLine="402"/>
      </w:pPr>
      <w:rPr>
        <w:rFonts w:hint="default" w:ascii="宋体" w:hAnsi="宋体" w:eastAsia="宋体" w:cs="宋体"/>
        <w:sz w:val="32"/>
      </w:rPr>
    </w:lvl>
    <w:lvl w:ilvl="3" w:tentative="0">
      <w:start w:val="1"/>
      <w:numFmt w:val="none"/>
      <w:pStyle w:val="5"/>
      <w:suff w:val="nothing"/>
      <w:lvlText w:val="3.1.1"/>
      <w:lvlJc w:val="left"/>
      <w:pPr>
        <w:ind w:left="0" w:firstLine="402"/>
      </w:pPr>
      <w:rPr>
        <w:rFonts w:hint="default" w:ascii="宋体" w:hAnsi="宋体" w:eastAsia="宋体" w:cs="宋体"/>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D5D15C48"/>
    <w:multiLevelType w:val="multilevel"/>
    <w:tmpl w:val="D5D15C48"/>
    <w:lvl w:ilvl="0" w:tentative="0">
      <w:start w:val="1"/>
      <w:numFmt w:val="none"/>
      <w:pStyle w:val="2"/>
      <w:suff w:val="nothing"/>
      <w:lvlText w:val="第一章"/>
      <w:lvlJc w:val="left"/>
      <w:pPr>
        <w:tabs>
          <w:tab w:val="left" w:pos="0"/>
        </w:tabs>
        <w:ind w:left="0" w:firstLine="402"/>
      </w:pPr>
      <w:rPr>
        <w:rFonts w:hint="default" w:ascii="宋体" w:hAnsi="宋体" w:eastAsia="宋体" w:cs="宋体"/>
        <w:sz w:val="40"/>
      </w:rPr>
    </w:lvl>
    <w:lvl w:ilvl="1" w:tentative="0">
      <w:start w:val="1"/>
      <w:numFmt w:val="decimal"/>
      <w:pStyle w:val="3"/>
      <w:suff w:val="nothing"/>
      <w:lvlText w:val="%2."/>
      <w:lvlJc w:val="left"/>
      <w:pPr>
        <w:ind w:left="0" w:firstLine="402"/>
      </w:pPr>
      <w:rPr>
        <w:rFonts w:hint="default" w:ascii="宋体" w:hAnsi="宋体" w:eastAsia="宋体" w:cs="宋体"/>
        <w:sz w:val="36"/>
      </w:rPr>
    </w:lvl>
    <w:lvl w:ilvl="2" w:tentative="0">
      <w:start w:val="1"/>
      <w:numFmt w:val="decimal"/>
      <w:pStyle w:val="4"/>
      <w:suff w:val="nothing"/>
      <w:lvlText w:val="1.%3"/>
      <w:lvlJc w:val="left"/>
      <w:pPr>
        <w:tabs>
          <w:tab w:val="left" w:pos="0"/>
        </w:tabs>
        <w:ind w:left="0" w:firstLine="402"/>
      </w:pPr>
      <w:rPr>
        <w:rFonts w:hint="default" w:ascii="宋体" w:hAnsi="宋体" w:eastAsia="宋体" w:cs="宋体"/>
        <w:sz w:val="32"/>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trackRevisions w:val="1"/>
  <w:documentProtection w:enforcement="0"/>
  <w:defaultTabStop w:val="0"/>
  <w:drawingGridHorizontalSpacing w:val="120"/>
  <w:drawingGridVerticalSpacing w:val="16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kMDgzMTQyZDRhOTY3OWI1ZmYyY2IyN2I0YWNlYzUifQ=="/>
  </w:docVars>
  <w:rsids>
    <w:rsidRoot w:val="2006120C"/>
    <w:rsid w:val="00001D51"/>
    <w:rsid w:val="00033517"/>
    <w:rsid w:val="0013536E"/>
    <w:rsid w:val="0024688E"/>
    <w:rsid w:val="002C79EC"/>
    <w:rsid w:val="002D02C9"/>
    <w:rsid w:val="004B69DE"/>
    <w:rsid w:val="00567897"/>
    <w:rsid w:val="005B5F30"/>
    <w:rsid w:val="005C51E2"/>
    <w:rsid w:val="00640704"/>
    <w:rsid w:val="00692C06"/>
    <w:rsid w:val="006A46BE"/>
    <w:rsid w:val="006C0827"/>
    <w:rsid w:val="006C1E94"/>
    <w:rsid w:val="006F1B9B"/>
    <w:rsid w:val="0084618B"/>
    <w:rsid w:val="0089782E"/>
    <w:rsid w:val="008A367F"/>
    <w:rsid w:val="009944D0"/>
    <w:rsid w:val="009A55C6"/>
    <w:rsid w:val="009B3A05"/>
    <w:rsid w:val="009E2D10"/>
    <w:rsid w:val="009F518A"/>
    <w:rsid w:val="00A41AF0"/>
    <w:rsid w:val="00A45B07"/>
    <w:rsid w:val="00A92088"/>
    <w:rsid w:val="00B10D50"/>
    <w:rsid w:val="00B65D10"/>
    <w:rsid w:val="00B7695A"/>
    <w:rsid w:val="00B800D5"/>
    <w:rsid w:val="00BF4306"/>
    <w:rsid w:val="00C46EEF"/>
    <w:rsid w:val="00C63141"/>
    <w:rsid w:val="00C93778"/>
    <w:rsid w:val="00D822CF"/>
    <w:rsid w:val="00DB351D"/>
    <w:rsid w:val="00E16761"/>
    <w:rsid w:val="00E36350"/>
    <w:rsid w:val="00E36F25"/>
    <w:rsid w:val="00ED705C"/>
    <w:rsid w:val="00EE1528"/>
    <w:rsid w:val="00EE4783"/>
    <w:rsid w:val="00F56F3E"/>
    <w:rsid w:val="01471432"/>
    <w:rsid w:val="016B2FC0"/>
    <w:rsid w:val="01731B3C"/>
    <w:rsid w:val="0183259A"/>
    <w:rsid w:val="0184537D"/>
    <w:rsid w:val="018E2987"/>
    <w:rsid w:val="020E7CF9"/>
    <w:rsid w:val="022913A6"/>
    <w:rsid w:val="02482F0B"/>
    <w:rsid w:val="02611557"/>
    <w:rsid w:val="027173B2"/>
    <w:rsid w:val="027974C8"/>
    <w:rsid w:val="028A336A"/>
    <w:rsid w:val="02E203F7"/>
    <w:rsid w:val="030B6A41"/>
    <w:rsid w:val="032F44DE"/>
    <w:rsid w:val="0335682C"/>
    <w:rsid w:val="042656E3"/>
    <w:rsid w:val="042808C9"/>
    <w:rsid w:val="042D25A7"/>
    <w:rsid w:val="0449714B"/>
    <w:rsid w:val="045A11D9"/>
    <w:rsid w:val="04636113"/>
    <w:rsid w:val="047D70B5"/>
    <w:rsid w:val="04C27644"/>
    <w:rsid w:val="04CF4708"/>
    <w:rsid w:val="04E35A1E"/>
    <w:rsid w:val="056E657D"/>
    <w:rsid w:val="057C3593"/>
    <w:rsid w:val="05897A7F"/>
    <w:rsid w:val="05B246F1"/>
    <w:rsid w:val="05BF4537"/>
    <w:rsid w:val="06081F1A"/>
    <w:rsid w:val="068026FA"/>
    <w:rsid w:val="068C25DB"/>
    <w:rsid w:val="06AC3BB0"/>
    <w:rsid w:val="06D5093D"/>
    <w:rsid w:val="06E404BE"/>
    <w:rsid w:val="0729012F"/>
    <w:rsid w:val="07652D43"/>
    <w:rsid w:val="07C10E62"/>
    <w:rsid w:val="092661CC"/>
    <w:rsid w:val="09410048"/>
    <w:rsid w:val="09612377"/>
    <w:rsid w:val="09711736"/>
    <w:rsid w:val="09984724"/>
    <w:rsid w:val="09B32A99"/>
    <w:rsid w:val="09DE7B82"/>
    <w:rsid w:val="0A117680"/>
    <w:rsid w:val="0A235210"/>
    <w:rsid w:val="0A6C3817"/>
    <w:rsid w:val="0B7F08F7"/>
    <w:rsid w:val="0B8C638A"/>
    <w:rsid w:val="0C197589"/>
    <w:rsid w:val="0C306986"/>
    <w:rsid w:val="0C3E26EA"/>
    <w:rsid w:val="0C4834D8"/>
    <w:rsid w:val="0C4D28BD"/>
    <w:rsid w:val="0C847FD3"/>
    <w:rsid w:val="0CDD71F7"/>
    <w:rsid w:val="0D254DBC"/>
    <w:rsid w:val="0D40150B"/>
    <w:rsid w:val="0DD244C8"/>
    <w:rsid w:val="0DE668F0"/>
    <w:rsid w:val="0E4D2975"/>
    <w:rsid w:val="0E6836F4"/>
    <w:rsid w:val="0EF1693D"/>
    <w:rsid w:val="0F884495"/>
    <w:rsid w:val="0FC35F97"/>
    <w:rsid w:val="0FE87926"/>
    <w:rsid w:val="0FFF483E"/>
    <w:rsid w:val="10743A86"/>
    <w:rsid w:val="107F4645"/>
    <w:rsid w:val="10B81417"/>
    <w:rsid w:val="11297025"/>
    <w:rsid w:val="11384BA7"/>
    <w:rsid w:val="11523463"/>
    <w:rsid w:val="119E50BE"/>
    <w:rsid w:val="122357EE"/>
    <w:rsid w:val="123C5B58"/>
    <w:rsid w:val="12401AB8"/>
    <w:rsid w:val="13CF742F"/>
    <w:rsid w:val="13D34583"/>
    <w:rsid w:val="14234899"/>
    <w:rsid w:val="1424760F"/>
    <w:rsid w:val="14706BA3"/>
    <w:rsid w:val="150C0DE4"/>
    <w:rsid w:val="158D1C33"/>
    <w:rsid w:val="15972182"/>
    <w:rsid w:val="15EB0556"/>
    <w:rsid w:val="15F613A0"/>
    <w:rsid w:val="160C070B"/>
    <w:rsid w:val="164E147F"/>
    <w:rsid w:val="167839B0"/>
    <w:rsid w:val="16893F4C"/>
    <w:rsid w:val="169A66AA"/>
    <w:rsid w:val="16CA3413"/>
    <w:rsid w:val="16E55108"/>
    <w:rsid w:val="1701568E"/>
    <w:rsid w:val="17F7601A"/>
    <w:rsid w:val="182C42DF"/>
    <w:rsid w:val="183D0850"/>
    <w:rsid w:val="187240A4"/>
    <w:rsid w:val="18835D78"/>
    <w:rsid w:val="18F62423"/>
    <w:rsid w:val="18FA01A9"/>
    <w:rsid w:val="190B76EB"/>
    <w:rsid w:val="190F0C68"/>
    <w:rsid w:val="19306751"/>
    <w:rsid w:val="193E56D5"/>
    <w:rsid w:val="194C7C9D"/>
    <w:rsid w:val="1972340A"/>
    <w:rsid w:val="19944E0D"/>
    <w:rsid w:val="19F86D93"/>
    <w:rsid w:val="1A1A3434"/>
    <w:rsid w:val="1A933D26"/>
    <w:rsid w:val="1AFA75C5"/>
    <w:rsid w:val="1B4B19D3"/>
    <w:rsid w:val="1B7A6DDD"/>
    <w:rsid w:val="1B8A1B8F"/>
    <w:rsid w:val="1B907E22"/>
    <w:rsid w:val="1BA957C6"/>
    <w:rsid w:val="1C2171D5"/>
    <w:rsid w:val="1C2D2553"/>
    <w:rsid w:val="1C5C0850"/>
    <w:rsid w:val="1C692E46"/>
    <w:rsid w:val="1C8013C6"/>
    <w:rsid w:val="1C823A49"/>
    <w:rsid w:val="1CCA3360"/>
    <w:rsid w:val="1D0B79AF"/>
    <w:rsid w:val="1D441E5D"/>
    <w:rsid w:val="1D773B72"/>
    <w:rsid w:val="1DAA3129"/>
    <w:rsid w:val="1DC31CBE"/>
    <w:rsid w:val="1E6C4158"/>
    <w:rsid w:val="1E8D5163"/>
    <w:rsid w:val="1F260C07"/>
    <w:rsid w:val="1F315715"/>
    <w:rsid w:val="1FA959F2"/>
    <w:rsid w:val="1FAD562C"/>
    <w:rsid w:val="1FBC0F9D"/>
    <w:rsid w:val="2006120C"/>
    <w:rsid w:val="206641CB"/>
    <w:rsid w:val="208512E0"/>
    <w:rsid w:val="20895988"/>
    <w:rsid w:val="20CD0201"/>
    <w:rsid w:val="20E61545"/>
    <w:rsid w:val="21944011"/>
    <w:rsid w:val="22574C5E"/>
    <w:rsid w:val="22725F6B"/>
    <w:rsid w:val="227A7658"/>
    <w:rsid w:val="23766EFC"/>
    <w:rsid w:val="23BE29B8"/>
    <w:rsid w:val="23C604D1"/>
    <w:rsid w:val="23D13B21"/>
    <w:rsid w:val="23FD1C9E"/>
    <w:rsid w:val="240C4BB0"/>
    <w:rsid w:val="242D52FC"/>
    <w:rsid w:val="245B5E24"/>
    <w:rsid w:val="24993B07"/>
    <w:rsid w:val="24A43F71"/>
    <w:rsid w:val="24D664DE"/>
    <w:rsid w:val="25024DDE"/>
    <w:rsid w:val="25032053"/>
    <w:rsid w:val="25562C1A"/>
    <w:rsid w:val="257A0A74"/>
    <w:rsid w:val="25B61F3B"/>
    <w:rsid w:val="26B04094"/>
    <w:rsid w:val="26B1682B"/>
    <w:rsid w:val="27423919"/>
    <w:rsid w:val="277201B1"/>
    <w:rsid w:val="278E2369"/>
    <w:rsid w:val="27940080"/>
    <w:rsid w:val="27E20E07"/>
    <w:rsid w:val="27F87645"/>
    <w:rsid w:val="282F32ED"/>
    <w:rsid w:val="28885326"/>
    <w:rsid w:val="28D1706F"/>
    <w:rsid w:val="29462D43"/>
    <w:rsid w:val="296D2E3A"/>
    <w:rsid w:val="2A0C6C21"/>
    <w:rsid w:val="2A3D54F9"/>
    <w:rsid w:val="2A43247C"/>
    <w:rsid w:val="2A584856"/>
    <w:rsid w:val="2A647DD0"/>
    <w:rsid w:val="2A702DAE"/>
    <w:rsid w:val="2AA33B05"/>
    <w:rsid w:val="2B045D24"/>
    <w:rsid w:val="2B0A7E4D"/>
    <w:rsid w:val="2B1D67BA"/>
    <w:rsid w:val="2B6A5861"/>
    <w:rsid w:val="2BAE1109"/>
    <w:rsid w:val="2BE33C0E"/>
    <w:rsid w:val="2C3E30AF"/>
    <w:rsid w:val="2C446FB7"/>
    <w:rsid w:val="2C7B6DA5"/>
    <w:rsid w:val="2D733D89"/>
    <w:rsid w:val="2DAC7E31"/>
    <w:rsid w:val="2DDC5B7F"/>
    <w:rsid w:val="2DE116A5"/>
    <w:rsid w:val="2DE4263F"/>
    <w:rsid w:val="2E975000"/>
    <w:rsid w:val="2E9F7309"/>
    <w:rsid w:val="2EF87EBB"/>
    <w:rsid w:val="2FCB42DA"/>
    <w:rsid w:val="301205EA"/>
    <w:rsid w:val="307F6E88"/>
    <w:rsid w:val="310746D9"/>
    <w:rsid w:val="31A24681"/>
    <w:rsid w:val="31AC6FC7"/>
    <w:rsid w:val="328F4DE6"/>
    <w:rsid w:val="32A85078"/>
    <w:rsid w:val="331A4C4B"/>
    <w:rsid w:val="33551721"/>
    <w:rsid w:val="337150A4"/>
    <w:rsid w:val="339737E6"/>
    <w:rsid w:val="33F66E26"/>
    <w:rsid w:val="341B57F4"/>
    <w:rsid w:val="341D52E2"/>
    <w:rsid w:val="3447440B"/>
    <w:rsid w:val="350A780C"/>
    <w:rsid w:val="35CD056E"/>
    <w:rsid w:val="36025B3C"/>
    <w:rsid w:val="36324603"/>
    <w:rsid w:val="36462D9A"/>
    <w:rsid w:val="365E750D"/>
    <w:rsid w:val="3684408F"/>
    <w:rsid w:val="36C23A41"/>
    <w:rsid w:val="36DB1E64"/>
    <w:rsid w:val="3755392D"/>
    <w:rsid w:val="376222B2"/>
    <w:rsid w:val="376A6F52"/>
    <w:rsid w:val="37B22E4A"/>
    <w:rsid w:val="37DA79C7"/>
    <w:rsid w:val="38007799"/>
    <w:rsid w:val="3840522F"/>
    <w:rsid w:val="386931EC"/>
    <w:rsid w:val="387B36CD"/>
    <w:rsid w:val="389F5CA7"/>
    <w:rsid w:val="38B317C0"/>
    <w:rsid w:val="38DA6777"/>
    <w:rsid w:val="38F27404"/>
    <w:rsid w:val="393036CB"/>
    <w:rsid w:val="394615CB"/>
    <w:rsid w:val="39C03C82"/>
    <w:rsid w:val="3A06211A"/>
    <w:rsid w:val="3A52154A"/>
    <w:rsid w:val="3AAE27EE"/>
    <w:rsid w:val="3B0B28E8"/>
    <w:rsid w:val="3BDA5786"/>
    <w:rsid w:val="3BE50B93"/>
    <w:rsid w:val="3C68200B"/>
    <w:rsid w:val="3D1C31F5"/>
    <w:rsid w:val="3D5850D6"/>
    <w:rsid w:val="3DFA148C"/>
    <w:rsid w:val="3E20000B"/>
    <w:rsid w:val="3E77258B"/>
    <w:rsid w:val="3EB561E1"/>
    <w:rsid w:val="3EBC7731"/>
    <w:rsid w:val="3F6A752B"/>
    <w:rsid w:val="3F8F2D59"/>
    <w:rsid w:val="3FC21E2F"/>
    <w:rsid w:val="40404FA9"/>
    <w:rsid w:val="40D96845"/>
    <w:rsid w:val="413138E5"/>
    <w:rsid w:val="415E1ED8"/>
    <w:rsid w:val="41A447FD"/>
    <w:rsid w:val="41DA738F"/>
    <w:rsid w:val="41F57BE2"/>
    <w:rsid w:val="4207635A"/>
    <w:rsid w:val="423E471D"/>
    <w:rsid w:val="42416881"/>
    <w:rsid w:val="42D11AD9"/>
    <w:rsid w:val="42EE4CF1"/>
    <w:rsid w:val="435F6C4C"/>
    <w:rsid w:val="438F6A58"/>
    <w:rsid w:val="439B2983"/>
    <w:rsid w:val="43A16589"/>
    <w:rsid w:val="43EB2EB1"/>
    <w:rsid w:val="43EF2DCD"/>
    <w:rsid w:val="4425747D"/>
    <w:rsid w:val="44597C1B"/>
    <w:rsid w:val="447905FB"/>
    <w:rsid w:val="44A85F0E"/>
    <w:rsid w:val="44F1133E"/>
    <w:rsid w:val="45230884"/>
    <w:rsid w:val="455C5CEB"/>
    <w:rsid w:val="45957C39"/>
    <w:rsid w:val="45A515DF"/>
    <w:rsid w:val="45A871D6"/>
    <w:rsid w:val="46143451"/>
    <w:rsid w:val="466B04E9"/>
    <w:rsid w:val="468821B1"/>
    <w:rsid w:val="469146BB"/>
    <w:rsid w:val="46E32C24"/>
    <w:rsid w:val="46EA7EC6"/>
    <w:rsid w:val="46ED2E03"/>
    <w:rsid w:val="47280D5A"/>
    <w:rsid w:val="47617DDD"/>
    <w:rsid w:val="477079B1"/>
    <w:rsid w:val="4787229A"/>
    <w:rsid w:val="479C7DF0"/>
    <w:rsid w:val="481E02A5"/>
    <w:rsid w:val="48284A31"/>
    <w:rsid w:val="4896303B"/>
    <w:rsid w:val="48B8654B"/>
    <w:rsid w:val="48C82735"/>
    <w:rsid w:val="499371A3"/>
    <w:rsid w:val="499D1D72"/>
    <w:rsid w:val="49AC469F"/>
    <w:rsid w:val="49B61F08"/>
    <w:rsid w:val="49BC7BD7"/>
    <w:rsid w:val="49C078A3"/>
    <w:rsid w:val="49E7156C"/>
    <w:rsid w:val="4A2026CB"/>
    <w:rsid w:val="4A250A63"/>
    <w:rsid w:val="4A7E1DB5"/>
    <w:rsid w:val="4A977F6F"/>
    <w:rsid w:val="4AC33245"/>
    <w:rsid w:val="4AF8010B"/>
    <w:rsid w:val="4B277F06"/>
    <w:rsid w:val="4B441AE3"/>
    <w:rsid w:val="4B516F36"/>
    <w:rsid w:val="4B6F6898"/>
    <w:rsid w:val="4BB85697"/>
    <w:rsid w:val="4BED2E93"/>
    <w:rsid w:val="4C616B77"/>
    <w:rsid w:val="4C697822"/>
    <w:rsid w:val="4C792618"/>
    <w:rsid w:val="4C821E99"/>
    <w:rsid w:val="4D3C51DE"/>
    <w:rsid w:val="4DAE585C"/>
    <w:rsid w:val="4DBB71F6"/>
    <w:rsid w:val="4DE36432"/>
    <w:rsid w:val="4DEA2712"/>
    <w:rsid w:val="4DF23BA9"/>
    <w:rsid w:val="4E16353F"/>
    <w:rsid w:val="4E1C4711"/>
    <w:rsid w:val="4E830532"/>
    <w:rsid w:val="4ED074DD"/>
    <w:rsid w:val="4F1C4541"/>
    <w:rsid w:val="4F3F5B57"/>
    <w:rsid w:val="4FAE7D5E"/>
    <w:rsid w:val="500C0D09"/>
    <w:rsid w:val="503C40EA"/>
    <w:rsid w:val="50837DA4"/>
    <w:rsid w:val="50B77B07"/>
    <w:rsid w:val="50C437A2"/>
    <w:rsid w:val="50DB72C0"/>
    <w:rsid w:val="50E25BB5"/>
    <w:rsid w:val="510F4195"/>
    <w:rsid w:val="51363DAD"/>
    <w:rsid w:val="518A50D1"/>
    <w:rsid w:val="51C40843"/>
    <w:rsid w:val="51CF3489"/>
    <w:rsid w:val="520A4F8C"/>
    <w:rsid w:val="52400EF9"/>
    <w:rsid w:val="52626DB3"/>
    <w:rsid w:val="52881CAE"/>
    <w:rsid w:val="528B1446"/>
    <w:rsid w:val="52AB4BC6"/>
    <w:rsid w:val="52E47EBC"/>
    <w:rsid w:val="53713458"/>
    <w:rsid w:val="539B01A9"/>
    <w:rsid w:val="53CE63B5"/>
    <w:rsid w:val="546C69CA"/>
    <w:rsid w:val="549C2544"/>
    <w:rsid w:val="55205C5D"/>
    <w:rsid w:val="555E3990"/>
    <w:rsid w:val="559F6ED3"/>
    <w:rsid w:val="55A559A5"/>
    <w:rsid w:val="56516EDE"/>
    <w:rsid w:val="56691C0E"/>
    <w:rsid w:val="568C5674"/>
    <w:rsid w:val="56941FB1"/>
    <w:rsid w:val="570E5995"/>
    <w:rsid w:val="57852D80"/>
    <w:rsid w:val="57876EF9"/>
    <w:rsid w:val="584A3D97"/>
    <w:rsid w:val="585D737F"/>
    <w:rsid w:val="58601AF1"/>
    <w:rsid w:val="588C2C9A"/>
    <w:rsid w:val="58BD16F5"/>
    <w:rsid w:val="59A84B05"/>
    <w:rsid w:val="59E827C4"/>
    <w:rsid w:val="5A031E39"/>
    <w:rsid w:val="5A0F7891"/>
    <w:rsid w:val="5A2A13C6"/>
    <w:rsid w:val="5A8B33BB"/>
    <w:rsid w:val="5ABC515E"/>
    <w:rsid w:val="5AFD6893"/>
    <w:rsid w:val="5B7C1EA5"/>
    <w:rsid w:val="5BCA1DA4"/>
    <w:rsid w:val="5BDB19E8"/>
    <w:rsid w:val="5BF84411"/>
    <w:rsid w:val="5C10302B"/>
    <w:rsid w:val="5C3B5FDC"/>
    <w:rsid w:val="5C793380"/>
    <w:rsid w:val="5CA8160A"/>
    <w:rsid w:val="5CB71649"/>
    <w:rsid w:val="5CC04F2B"/>
    <w:rsid w:val="5D113CB0"/>
    <w:rsid w:val="5D2243BB"/>
    <w:rsid w:val="5DA47FA0"/>
    <w:rsid w:val="5E2324E7"/>
    <w:rsid w:val="5E8D47B7"/>
    <w:rsid w:val="5E8E13E1"/>
    <w:rsid w:val="5E9A5F0B"/>
    <w:rsid w:val="5EB763DD"/>
    <w:rsid w:val="5F3E0450"/>
    <w:rsid w:val="60555A41"/>
    <w:rsid w:val="60D35963"/>
    <w:rsid w:val="613D1F5B"/>
    <w:rsid w:val="618F0100"/>
    <w:rsid w:val="61E462B1"/>
    <w:rsid w:val="62524D95"/>
    <w:rsid w:val="62B774CE"/>
    <w:rsid w:val="62D74326"/>
    <w:rsid w:val="63BA0754"/>
    <w:rsid w:val="63BD2B4A"/>
    <w:rsid w:val="64162322"/>
    <w:rsid w:val="644C47CC"/>
    <w:rsid w:val="64845356"/>
    <w:rsid w:val="64E7422F"/>
    <w:rsid w:val="64E9122D"/>
    <w:rsid w:val="652B737F"/>
    <w:rsid w:val="654B061E"/>
    <w:rsid w:val="655D070B"/>
    <w:rsid w:val="656744F1"/>
    <w:rsid w:val="6573415C"/>
    <w:rsid w:val="659C2E6A"/>
    <w:rsid w:val="66453790"/>
    <w:rsid w:val="66620195"/>
    <w:rsid w:val="66673C0F"/>
    <w:rsid w:val="66731E90"/>
    <w:rsid w:val="6685773F"/>
    <w:rsid w:val="66FC55ED"/>
    <w:rsid w:val="671A2AAE"/>
    <w:rsid w:val="674C37F9"/>
    <w:rsid w:val="678D79A7"/>
    <w:rsid w:val="679342DB"/>
    <w:rsid w:val="67BB199C"/>
    <w:rsid w:val="67BF6439"/>
    <w:rsid w:val="67DC486D"/>
    <w:rsid w:val="685E2D55"/>
    <w:rsid w:val="68684C0A"/>
    <w:rsid w:val="68F104C3"/>
    <w:rsid w:val="69167501"/>
    <w:rsid w:val="6967039B"/>
    <w:rsid w:val="69857937"/>
    <w:rsid w:val="698A5BCA"/>
    <w:rsid w:val="69985F69"/>
    <w:rsid w:val="69995A05"/>
    <w:rsid w:val="69F844CD"/>
    <w:rsid w:val="6A292945"/>
    <w:rsid w:val="6A4A488F"/>
    <w:rsid w:val="6ABA4326"/>
    <w:rsid w:val="6ACB6A4C"/>
    <w:rsid w:val="6ADF7BE4"/>
    <w:rsid w:val="6AFC4D71"/>
    <w:rsid w:val="6B541AF3"/>
    <w:rsid w:val="6B707A37"/>
    <w:rsid w:val="6BB06BE0"/>
    <w:rsid w:val="6BBB0E9D"/>
    <w:rsid w:val="6C3E68A5"/>
    <w:rsid w:val="6C6475F3"/>
    <w:rsid w:val="6CA71D3C"/>
    <w:rsid w:val="6D254FA9"/>
    <w:rsid w:val="6D29067D"/>
    <w:rsid w:val="6D673814"/>
    <w:rsid w:val="6D9E1598"/>
    <w:rsid w:val="6DCB53B4"/>
    <w:rsid w:val="6E080A13"/>
    <w:rsid w:val="6F3D0818"/>
    <w:rsid w:val="6F975E9F"/>
    <w:rsid w:val="6FFE29CE"/>
    <w:rsid w:val="70167AB8"/>
    <w:rsid w:val="70366996"/>
    <w:rsid w:val="70565553"/>
    <w:rsid w:val="70DC534E"/>
    <w:rsid w:val="70F4495C"/>
    <w:rsid w:val="70F73665"/>
    <w:rsid w:val="70FC2E7C"/>
    <w:rsid w:val="719D0918"/>
    <w:rsid w:val="71E10C1A"/>
    <w:rsid w:val="723D69EF"/>
    <w:rsid w:val="727866C0"/>
    <w:rsid w:val="72B53484"/>
    <w:rsid w:val="72DA7709"/>
    <w:rsid w:val="72E41BFF"/>
    <w:rsid w:val="72E70DC2"/>
    <w:rsid w:val="736F727F"/>
    <w:rsid w:val="73A72DC1"/>
    <w:rsid w:val="73B85B73"/>
    <w:rsid w:val="742D2A7D"/>
    <w:rsid w:val="744D6942"/>
    <w:rsid w:val="74B44B4A"/>
    <w:rsid w:val="75056BCA"/>
    <w:rsid w:val="75157E52"/>
    <w:rsid w:val="75353590"/>
    <w:rsid w:val="759622F7"/>
    <w:rsid w:val="75B23B6B"/>
    <w:rsid w:val="76670B7B"/>
    <w:rsid w:val="76AB26E8"/>
    <w:rsid w:val="77106B53"/>
    <w:rsid w:val="771D6320"/>
    <w:rsid w:val="775459CA"/>
    <w:rsid w:val="77A71D85"/>
    <w:rsid w:val="77E717D4"/>
    <w:rsid w:val="77E752B8"/>
    <w:rsid w:val="77EE481B"/>
    <w:rsid w:val="7887380A"/>
    <w:rsid w:val="789C1F70"/>
    <w:rsid w:val="78A3791F"/>
    <w:rsid w:val="78BE6A74"/>
    <w:rsid w:val="78CE4E01"/>
    <w:rsid w:val="78DB46E5"/>
    <w:rsid w:val="79122332"/>
    <w:rsid w:val="791E374E"/>
    <w:rsid w:val="791F1764"/>
    <w:rsid w:val="79301F93"/>
    <w:rsid w:val="79C81FFD"/>
    <w:rsid w:val="79FC0252"/>
    <w:rsid w:val="7AA3720F"/>
    <w:rsid w:val="7AD30A3B"/>
    <w:rsid w:val="7AD831A1"/>
    <w:rsid w:val="7B354ADC"/>
    <w:rsid w:val="7B6A6EB6"/>
    <w:rsid w:val="7B8F2FE5"/>
    <w:rsid w:val="7B9C2847"/>
    <w:rsid w:val="7BA56A67"/>
    <w:rsid w:val="7C2E5A7B"/>
    <w:rsid w:val="7CC20CB3"/>
    <w:rsid w:val="7CE6443D"/>
    <w:rsid w:val="7CF13E70"/>
    <w:rsid w:val="7D146DE8"/>
    <w:rsid w:val="7D63111B"/>
    <w:rsid w:val="7D9F7F47"/>
    <w:rsid w:val="7E483537"/>
    <w:rsid w:val="7E542E09"/>
    <w:rsid w:val="7E6C04DB"/>
    <w:rsid w:val="7ECC44E4"/>
    <w:rsid w:val="7EDB4B58"/>
    <w:rsid w:val="7F660BE3"/>
    <w:rsid w:val="7FA84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4"/>
      <w:szCs w:val="24"/>
      <w:lang w:val="en-US" w:eastAsia="zh-CN" w:bidi="ar-SA"/>
    </w:rPr>
  </w:style>
  <w:style w:type="paragraph" w:styleId="2">
    <w:name w:val="heading 1"/>
    <w:basedOn w:val="1"/>
    <w:next w:val="1"/>
    <w:autoRedefine/>
    <w:qFormat/>
    <w:uiPriority w:val="0"/>
    <w:pPr>
      <w:keepNext/>
      <w:keepLines/>
      <w:numPr>
        <w:ilvl w:val="0"/>
        <w:numId w:val="1"/>
      </w:numPr>
      <w:spacing w:before="220" w:after="90" w:line="360" w:lineRule="auto"/>
      <w:outlineLvl w:val="0"/>
    </w:pPr>
    <w:rPr>
      <w:b/>
      <w:kern w:val="44"/>
      <w:sz w:val="44"/>
    </w:rPr>
  </w:style>
  <w:style w:type="paragraph" w:styleId="3">
    <w:name w:val="heading 2"/>
    <w:basedOn w:val="1"/>
    <w:next w:val="1"/>
    <w:autoRedefine/>
    <w:qFormat/>
    <w:uiPriority w:val="0"/>
    <w:pPr>
      <w:keepNext/>
      <w:keepLines/>
      <w:numPr>
        <w:ilvl w:val="1"/>
        <w:numId w:val="1"/>
      </w:numPr>
      <w:spacing w:before="140" w:after="20" w:line="360" w:lineRule="auto"/>
      <w:ind w:firstLine="0"/>
      <w:outlineLvl w:val="1"/>
    </w:pPr>
    <w:rPr>
      <w:rFonts w:ascii="Arial" w:hAnsi="Arial" w:eastAsia="黑体"/>
      <w:b/>
      <w:sz w:val="32"/>
    </w:rPr>
  </w:style>
  <w:style w:type="paragraph" w:styleId="4">
    <w:name w:val="heading 3"/>
    <w:basedOn w:val="1"/>
    <w:next w:val="1"/>
    <w:link w:val="34"/>
    <w:qFormat/>
    <w:uiPriority w:val="0"/>
    <w:pPr>
      <w:keepNext/>
      <w:keepLines/>
      <w:numPr>
        <w:ilvl w:val="2"/>
        <w:numId w:val="1"/>
      </w:numPr>
      <w:spacing w:before="140" w:after="140" w:line="360" w:lineRule="auto"/>
      <w:ind w:firstLine="0"/>
      <w:outlineLvl w:val="2"/>
    </w:pPr>
    <w:rPr>
      <w:rFonts w:ascii="Times New Roman" w:hAnsi="Times New Roman"/>
      <w:b/>
      <w:kern w:val="0"/>
      <w:sz w:val="32"/>
      <w:szCs w:val="20"/>
      <w:lang w:val="zh-CN" w:eastAsia="zh-CN"/>
    </w:rPr>
  </w:style>
  <w:style w:type="paragraph" w:styleId="5">
    <w:name w:val="heading 4"/>
    <w:basedOn w:val="1"/>
    <w:next w:val="1"/>
    <w:link w:val="35"/>
    <w:autoRedefine/>
    <w:qFormat/>
    <w:uiPriority w:val="0"/>
    <w:pPr>
      <w:keepNext/>
      <w:keepLines/>
      <w:numPr>
        <w:ilvl w:val="3"/>
        <w:numId w:val="2"/>
      </w:numPr>
      <w:spacing w:before="40" w:after="40" w:line="360" w:lineRule="auto"/>
      <w:ind w:firstLine="0"/>
      <w:outlineLvl w:val="3"/>
    </w:pPr>
    <w:rPr>
      <w:rFonts w:ascii="Arial" w:hAnsi="Arial"/>
      <w:kern w:val="0"/>
      <w:szCs w:val="20"/>
      <w:lang w:val="zh-CN" w:eastAsia="zh-CN"/>
    </w:rPr>
  </w:style>
  <w:style w:type="paragraph" w:styleId="6">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5">
    <w:name w:val="Default Paragraph Font"/>
    <w:autoRedefine/>
    <w:semiHidden/>
    <w:qFormat/>
    <w:uiPriority w:val="0"/>
  </w:style>
  <w:style w:type="table" w:default="1" w:styleId="23">
    <w:name w:val="Normal Table"/>
    <w:autoRedefine/>
    <w:semiHidden/>
    <w:qFormat/>
    <w:uiPriority w:val="0"/>
    <w:tblPr>
      <w:tblCellMar>
        <w:top w:w="0" w:type="dxa"/>
        <w:left w:w="108" w:type="dxa"/>
        <w:bottom w:w="0" w:type="dxa"/>
        <w:right w:w="108" w:type="dxa"/>
      </w:tblCellMar>
    </w:tblPr>
  </w:style>
  <w:style w:type="paragraph" w:styleId="7">
    <w:name w:val="index 8"/>
    <w:basedOn w:val="1"/>
    <w:next w:val="1"/>
    <w:autoRedefine/>
    <w:qFormat/>
    <w:uiPriority w:val="0"/>
    <w:pPr>
      <w:tabs>
        <w:tab w:val="left" w:pos="540"/>
        <w:tab w:val="left" w:pos="900"/>
      </w:tabs>
      <w:jc w:val="center"/>
    </w:pPr>
    <w:rPr>
      <w:rFonts w:ascii="宋体" w:hAnsi="宋体" w:cs="宋体"/>
      <w:color w:val="000000"/>
      <w:sz w:val="32"/>
      <w:szCs w:val="32"/>
    </w:rPr>
  </w:style>
  <w:style w:type="paragraph" w:styleId="8">
    <w:name w:val="Normal Indent"/>
    <w:basedOn w:val="1"/>
    <w:autoRedefine/>
    <w:qFormat/>
    <w:uiPriority w:val="99"/>
    <w:pPr>
      <w:widowControl/>
      <w:autoSpaceDE w:val="0"/>
      <w:autoSpaceDN w:val="0"/>
      <w:adjustRightInd w:val="0"/>
      <w:spacing w:before="100" w:after="50" w:line="360" w:lineRule="auto"/>
      <w:ind w:firstLine="420" w:firstLineChars="200"/>
      <w:jc w:val="left"/>
    </w:pPr>
    <w:rPr>
      <w:rFonts w:ascii="CG Times" w:hAnsi="CG Times"/>
      <w:kern w:val="0"/>
    </w:rPr>
  </w:style>
  <w:style w:type="paragraph" w:styleId="9">
    <w:name w:val="Body Text"/>
    <w:basedOn w:val="1"/>
    <w:next w:val="10"/>
    <w:autoRedefine/>
    <w:unhideWhenUsed/>
    <w:qFormat/>
    <w:uiPriority w:val="99"/>
    <w:pPr>
      <w:spacing w:after="120"/>
    </w:pPr>
  </w:style>
  <w:style w:type="paragraph" w:customStyle="1" w:styleId="10">
    <w:name w:val="Default"/>
    <w:unhideWhenUsed/>
    <w:qFormat/>
    <w:uiPriority w:val="0"/>
    <w:pPr>
      <w:widowControl w:val="0"/>
      <w:autoSpaceDE w:val="0"/>
      <w:autoSpaceDN w:val="0"/>
    </w:pPr>
    <w:rPr>
      <w:rFonts w:hint="eastAsia" w:ascii="宋体" w:hAnsi="宋体" w:eastAsia="宋体" w:cs="Times New Roman"/>
      <w:color w:val="000000"/>
      <w:sz w:val="24"/>
      <w:lang w:val="en-US" w:eastAsia="zh-CN" w:bidi="ar-SA"/>
    </w:rPr>
  </w:style>
  <w:style w:type="paragraph" w:styleId="11">
    <w:name w:val="Body Text Indent"/>
    <w:basedOn w:val="1"/>
    <w:next w:val="1"/>
    <w:autoRedefine/>
    <w:qFormat/>
    <w:uiPriority w:val="0"/>
    <w:pPr>
      <w:ind w:firstLine="538" w:firstLineChars="192"/>
    </w:pPr>
    <w:rPr>
      <w:sz w:val="28"/>
    </w:rPr>
  </w:style>
  <w:style w:type="paragraph" w:styleId="12">
    <w:name w:val="Block Text"/>
    <w:basedOn w:val="1"/>
    <w:autoRedefine/>
    <w:qFormat/>
    <w:uiPriority w:val="0"/>
    <w:pPr>
      <w:spacing w:after="120"/>
      <w:ind w:leftChars="700" w:rightChars="700"/>
    </w:pPr>
  </w:style>
  <w:style w:type="paragraph" w:styleId="13">
    <w:name w:val="toc 3"/>
    <w:basedOn w:val="1"/>
    <w:next w:val="1"/>
    <w:qFormat/>
    <w:uiPriority w:val="0"/>
    <w:pPr>
      <w:ind w:left="840" w:leftChars="400"/>
    </w:pPr>
  </w:style>
  <w:style w:type="paragraph" w:styleId="14">
    <w:name w:val="Plain Text"/>
    <w:basedOn w:val="1"/>
    <w:autoRedefine/>
    <w:unhideWhenUsed/>
    <w:qFormat/>
    <w:uiPriority w:val="0"/>
    <w:rPr>
      <w:rFonts w:hint="eastAsia" w:ascii="宋体" w:hAnsi="Courier New"/>
      <w:sz w:val="20"/>
    </w:rPr>
  </w:style>
  <w:style w:type="paragraph" w:styleId="15">
    <w:name w:val="footer"/>
    <w:basedOn w:val="1"/>
    <w:autoRedefine/>
    <w:qFormat/>
    <w:uiPriority w:val="0"/>
    <w:pPr>
      <w:tabs>
        <w:tab w:val="center" w:pos="4153"/>
        <w:tab w:val="right" w:pos="8306"/>
      </w:tabs>
      <w:snapToGrid w:val="0"/>
      <w:jc w:val="left"/>
    </w:pPr>
    <w:rPr>
      <w:sz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7">
    <w:name w:val="toc 1"/>
    <w:basedOn w:val="1"/>
    <w:next w:val="1"/>
    <w:autoRedefine/>
    <w:qFormat/>
    <w:uiPriority w:val="0"/>
  </w:style>
  <w:style w:type="paragraph" w:styleId="18">
    <w:name w:val="toc 2"/>
    <w:basedOn w:val="1"/>
    <w:next w:val="1"/>
    <w:autoRedefine/>
    <w:unhideWhenUsed/>
    <w:qFormat/>
    <w:uiPriority w:val="39"/>
    <w:pPr>
      <w:ind w:left="420" w:leftChars="200"/>
    </w:pPr>
  </w:style>
  <w:style w:type="paragraph" w:styleId="19">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20">
    <w:name w:val="Normal (Web)"/>
    <w:basedOn w:val="1"/>
    <w:autoRedefine/>
    <w:qFormat/>
    <w:uiPriority w:val="0"/>
    <w:pPr>
      <w:jc w:val="left"/>
    </w:pPr>
    <w:rPr>
      <w:kern w:val="0"/>
    </w:rPr>
  </w:style>
  <w:style w:type="paragraph" w:styleId="21">
    <w:name w:val="Body Text First Indent"/>
    <w:basedOn w:val="9"/>
    <w:next w:val="9"/>
    <w:qFormat/>
    <w:uiPriority w:val="0"/>
    <w:pPr>
      <w:widowControl/>
      <w:tabs>
        <w:tab w:val="left" w:pos="0"/>
      </w:tabs>
      <w:spacing w:after="156"/>
      <w:ind w:left="425"/>
      <w:jc w:val="left"/>
    </w:pPr>
    <w:rPr>
      <w:sz w:val="28"/>
      <w:szCs w:val="28"/>
    </w:rPr>
  </w:style>
  <w:style w:type="paragraph" w:styleId="22">
    <w:name w:val="Body Text First Indent 2"/>
    <w:basedOn w:val="11"/>
    <w:next w:val="21"/>
    <w:qFormat/>
    <w:uiPriority w:val="0"/>
    <w:pPr>
      <w:ind w:firstLine="420" w:firstLineChars="200"/>
    </w:pPr>
    <w:rPr>
      <w:rFonts w:ascii="Times New Roman" w:hAnsi="Times New Roman"/>
    </w:rPr>
  </w:style>
  <w:style w:type="table" w:styleId="24">
    <w:name w:val="Table Grid"/>
    <w:basedOn w:val="2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autoRedefine/>
    <w:qFormat/>
    <w:uiPriority w:val="0"/>
    <w:rPr>
      <w:b/>
    </w:rPr>
  </w:style>
  <w:style w:type="character" w:styleId="27">
    <w:name w:val="FollowedHyperlink"/>
    <w:basedOn w:val="25"/>
    <w:autoRedefine/>
    <w:semiHidden/>
    <w:unhideWhenUsed/>
    <w:qFormat/>
    <w:uiPriority w:val="99"/>
    <w:rPr>
      <w:color w:val="800080"/>
      <w:u w:val="single"/>
    </w:rPr>
  </w:style>
  <w:style w:type="character" w:styleId="28">
    <w:name w:val="Emphasis"/>
    <w:basedOn w:val="25"/>
    <w:autoRedefine/>
    <w:qFormat/>
    <w:uiPriority w:val="0"/>
  </w:style>
  <w:style w:type="character" w:styleId="29">
    <w:name w:val="HTML Definition"/>
    <w:basedOn w:val="25"/>
    <w:autoRedefine/>
    <w:qFormat/>
    <w:uiPriority w:val="0"/>
    <w:rPr>
      <w:i/>
    </w:rPr>
  </w:style>
  <w:style w:type="character" w:styleId="30">
    <w:name w:val="Hyperlink"/>
    <w:basedOn w:val="25"/>
    <w:autoRedefine/>
    <w:qFormat/>
    <w:uiPriority w:val="99"/>
    <w:rPr>
      <w:rFonts w:cs="Times New Roman"/>
      <w:color w:val="0000FF"/>
      <w:u w:val="single"/>
    </w:rPr>
  </w:style>
  <w:style w:type="character" w:styleId="31">
    <w:name w:val="HTML Code"/>
    <w:basedOn w:val="25"/>
    <w:autoRedefine/>
    <w:qFormat/>
    <w:uiPriority w:val="0"/>
    <w:rPr>
      <w:rFonts w:ascii="Courier New" w:hAnsi="Courier New"/>
      <w:sz w:val="20"/>
    </w:rPr>
  </w:style>
  <w:style w:type="character" w:styleId="32">
    <w:name w:val="HTML Cite"/>
    <w:basedOn w:val="25"/>
    <w:autoRedefine/>
    <w:qFormat/>
    <w:uiPriority w:val="0"/>
  </w:style>
  <w:style w:type="paragraph" w:customStyle="1" w:styleId="33">
    <w:name w:val="列出段落1"/>
    <w:basedOn w:val="1"/>
    <w:qFormat/>
    <w:uiPriority w:val="34"/>
    <w:pPr>
      <w:ind w:firstLine="420" w:firstLineChars="200"/>
    </w:pPr>
    <w:rPr>
      <w:rFonts w:ascii="Calibri" w:hAnsi="Calibri"/>
      <w:szCs w:val="22"/>
    </w:rPr>
  </w:style>
  <w:style w:type="character" w:customStyle="1" w:styleId="34">
    <w:name w:val="标题 3 Char"/>
    <w:link w:val="4"/>
    <w:qFormat/>
    <w:uiPriority w:val="0"/>
    <w:rPr>
      <w:b/>
      <w:sz w:val="32"/>
    </w:rPr>
  </w:style>
  <w:style w:type="character" w:customStyle="1" w:styleId="35">
    <w:name w:val="标题 4 Char"/>
    <w:link w:val="5"/>
    <w:qFormat/>
    <w:uiPriority w:val="0"/>
    <w:rPr>
      <w:rFonts w:ascii="Arial" w:hAnsi="Arial" w:eastAsia="宋体"/>
      <w:sz w:val="24"/>
    </w:rPr>
  </w:style>
  <w:style w:type="paragraph" w:customStyle="1" w:styleId="36">
    <w:name w:val="目录 11"/>
    <w:basedOn w:val="1"/>
    <w:next w:val="1"/>
    <w:qFormat/>
    <w:uiPriority w:val="0"/>
  </w:style>
  <w:style w:type="paragraph" w:customStyle="1" w:styleId="37">
    <w:name w:val="目录 21"/>
    <w:basedOn w:val="1"/>
    <w:next w:val="1"/>
    <w:unhideWhenUsed/>
    <w:qFormat/>
    <w:uiPriority w:val="39"/>
    <w:pPr>
      <w:ind w:left="210"/>
    </w:pPr>
    <w:rPr>
      <w:smallCaps/>
    </w:rPr>
  </w:style>
  <w:style w:type="character" w:customStyle="1" w:styleId="38">
    <w:name w:val="已访问的超链接1"/>
    <w:basedOn w:val="25"/>
    <w:qFormat/>
    <w:uiPriority w:val="0"/>
    <w:rPr>
      <w:color w:val="333333"/>
      <w:u w:val="none"/>
    </w:rPr>
  </w:style>
  <w:style w:type="character" w:customStyle="1" w:styleId="39">
    <w:name w:val="标题 #1_"/>
    <w:basedOn w:val="25"/>
    <w:link w:val="40"/>
    <w:unhideWhenUsed/>
    <w:qFormat/>
    <w:uiPriority w:val="99"/>
    <w:rPr>
      <w:rFonts w:hint="eastAsia" w:ascii="MingLiU" w:hAnsi="MingLiU" w:eastAsia="MingLiU"/>
      <w:b/>
      <w:sz w:val="42"/>
      <w:lang w:val="zh-CN" w:eastAsia="zh-CN"/>
    </w:rPr>
  </w:style>
  <w:style w:type="paragraph" w:customStyle="1" w:styleId="40">
    <w:name w:val="标题 #1"/>
    <w:basedOn w:val="1"/>
    <w:link w:val="39"/>
    <w:unhideWhenUsed/>
    <w:qFormat/>
    <w:uiPriority w:val="99"/>
    <w:pPr>
      <w:shd w:val="clear" w:color="auto" w:fill="FFFFFF"/>
      <w:spacing w:before="40" w:after="820"/>
      <w:jc w:val="center"/>
      <w:outlineLvl w:val="0"/>
    </w:pPr>
    <w:rPr>
      <w:rFonts w:hint="eastAsia" w:ascii="MingLiU" w:hAnsi="MingLiU" w:eastAsia="MingLiU"/>
      <w:b/>
      <w:sz w:val="42"/>
      <w:lang w:val="zh-CN"/>
    </w:rPr>
  </w:style>
  <w:style w:type="character" w:customStyle="1" w:styleId="41">
    <w:name w:val="font11"/>
    <w:basedOn w:val="25"/>
    <w:qFormat/>
    <w:uiPriority w:val="0"/>
    <w:rPr>
      <w:rFonts w:hint="eastAsia" w:ascii="宋体" w:hAnsi="宋体" w:eastAsia="宋体" w:cs="宋体"/>
      <w:color w:val="000000"/>
      <w:sz w:val="22"/>
      <w:szCs w:val="22"/>
      <w:u w:val="none"/>
    </w:rPr>
  </w:style>
  <w:style w:type="character" w:customStyle="1" w:styleId="42">
    <w:name w:val="正文文本 (5)_"/>
    <w:basedOn w:val="25"/>
    <w:link w:val="43"/>
    <w:unhideWhenUsed/>
    <w:qFormat/>
    <w:uiPriority w:val="99"/>
    <w:rPr>
      <w:rFonts w:hint="eastAsia" w:ascii="Times New Roman" w:hAnsi="Times New Roman" w:eastAsia="Times New Roman"/>
      <w:sz w:val="28"/>
      <w:lang w:val="zh-CN" w:eastAsia="zh-CN"/>
    </w:rPr>
  </w:style>
  <w:style w:type="paragraph" w:customStyle="1" w:styleId="43">
    <w:name w:val="正文文本 (5)"/>
    <w:basedOn w:val="1"/>
    <w:link w:val="42"/>
    <w:unhideWhenUsed/>
    <w:qFormat/>
    <w:uiPriority w:val="99"/>
    <w:pPr>
      <w:shd w:val="clear" w:color="auto" w:fill="FFFFFF"/>
      <w:spacing w:after="120"/>
      <w:ind w:firstLine="140"/>
    </w:pPr>
    <w:rPr>
      <w:rFonts w:hint="eastAsia" w:ascii="Times New Roman" w:hAnsi="Times New Roman" w:eastAsia="Times New Roman"/>
      <w:sz w:val="28"/>
      <w:lang w:val="zh-CN"/>
    </w:rPr>
  </w:style>
  <w:style w:type="character" w:customStyle="1" w:styleId="44">
    <w:name w:val="正文文本 (4)_"/>
    <w:basedOn w:val="25"/>
    <w:link w:val="45"/>
    <w:unhideWhenUsed/>
    <w:qFormat/>
    <w:uiPriority w:val="99"/>
    <w:rPr>
      <w:rFonts w:hint="eastAsia" w:ascii="Times New Roman" w:hAnsi="Times New Roman" w:eastAsia="Times New Roman"/>
      <w:sz w:val="20"/>
      <w:lang w:val="zh-CN" w:eastAsia="zh-CN"/>
    </w:rPr>
  </w:style>
  <w:style w:type="paragraph" w:customStyle="1" w:styleId="45">
    <w:name w:val="正文文本 (4)"/>
    <w:basedOn w:val="1"/>
    <w:link w:val="44"/>
    <w:unhideWhenUsed/>
    <w:qFormat/>
    <w:uiPriority w:val="99"/>
    <w:pPr>
      <w:shd w:val="clear" w:color="auto" w:fill="FFFFFF"/>
      <w:spacing w:line="398" w:lineRule="auto"/>
      <w:ind w:firstLine="440"/>
    </w:pPr>
    <w:rPr>
      <w:rFonts w:hint="eastAsia" w:ascii="Times New Roman" w:hAnsi="Times New Roman" w:eastAsia="Times New Roman"/>
      <w:sz w:val="20"/>
      <w:lang w:val="zh-CN"/>
    </w:rPr>
  </w:style>
  <w:style w:type="character" w:customStyle="1" w:styleId="46">
    <w:name w:val="正文文本 (6)_"/>
    <w:basedOn w:val="25"/>
    <w:link w:val="47"/>
    <w:unhideWhenUsed/>
    <w:qFormat/>
    <w:uiPriority w:val="99"/>
    <w:rPr>
      <w:rFonts w:hint="eastAsia" w:ascii="MingLiU" w:hAnsi="MingLiU" w:eastAsia="MingLiU"/>
      <w:sz w:val="26"/>
      <w:lang w:val="zh-CN" w:eastAsia="zh-CN"/>
    </w:rPr>
  </w:style>
  <w:style w:type="paragraph" w:customStyle="1" w:styleId="47">
    <w:name w:val="正文文本 (6)"/>
    <w:basedOn w:val="1"/>
    <w:link w:val="46"/>
    <w:unhideWhenUsed/>
    <w:qFormat/>
    <w:uiPriority w:val="99"/>
    <w:pPr>
      <w:shd w:val="clear" w:color="auto" w:fill="FFFFFF"/>
      <w:spacing w:after="120"/>
      <w:ind w:firstLine="140"/>
    </w:pPr>
    <w:rPr>
      <w:rFonts w:hint="eastAsia" w:ascii="MingLiU" w:hAnsi="MingLiU" w:eastAsia="MingLiU"/>
      <w:sz w:val="26"/>
      <w:lang w:val="zh-CN"/>
    </w:rPr>
  </w:style>
  <w:style w:type="character" w:customStyle="1" w:styleId="48">
    <w:name w:val="标题 #2_"/>
    <w:basedOn w:val="25"/>
    <w:link w:val="49"/>
    <w:unhideWhenUsed/>
    <w:qFormat/>
    <w:uiPriority w:val="99"/>
    <w:rPr>
      <w:rFonts w:hint="eastAsia" w:ascii="MingLiU" w:hAnsi="MingLiU" w:eastAsia="MingLiU"/>
      <w:b/>
      <w:sz w:val="32"/>
      <w:lang w:val="zh-CN" w:eastAsia="zh-CN"/>
    </w:rPr>
  </w:style>
  <w:style w:type="paragraph" w:customStyle="1" w:styleId="49">
    <w:name w:val="标题 #2"/>
    <w:basedOn w:val="1"/>
    <w:link w:val="48"/>
    <w:unhideWhenUsed/>
    <w:qFormat/>
    <w:uiPriority w:val="99"/>
    <w:pPr>
      <w:shd w:val="clear" w:color="auto" w:fill="FFFFFF"/>
      <w:spacing w:after="260"/>
      <w:outlineLvl w:val="1"/>
    </w:pPr>
    <w:rPr>
      <w:rFonts w:hint="eastAsia" w:ascii="MingLiU" w:hAnsi="MingLiU" w:eastAsia="MingLiU"/>
      <w:b/>
      <w:sz w:val="32"/>
      <w:lang w:val="zh-CN"/>
    </w:rPr>
  </w:style>
  <w:style w:type="character" w:customStyle="1" w:styleId="50">
    <w:name w:val="font61"/>
    <w:basedOn w:val="25"/>
    <w:qFormat/>
    <w:uiPriority w:val="0"/>
    <w:rPr>
      <w:rFonts w:hint="default" w:ascii="Calibri" w:hAnsi="Calibri" w:cs="Calibri"/>
      <w:color w:val="000000"/>
      <w:sz w:val="22"/>
      <w:szCs w:val="22"/>
      <w:u w:val="none"/>
    </w:rPr>
  </w:style>
  <w:style w:type="character" w:customStyle="1" w:styleId="51">
    <w:name w:val="目录_"/>
    <w:basedOn w:val="25"/>
    <w:link w:val="52"/>
    <w:autoRedefine/>
    <w:unhideWhenUsed/>
    <w:qFormat/>
    <w:uiPriority w:val="99"/>
    <w:rPr>
      <w:rFonts w:hint="eastAsia" w:ascii="MingLiU" w:hAnsi="MingLiU" w:eastAsia="MingLiU"/>
      <w:sz w:val="20"/>
      <w:lang w:val="zh-CN" w:eastAsia="zh-CN"/>
    </w:rPr>
  </w:style>
  <w:style w:type="paragraph" w:customStyle="1" w:styleId="52">
    <w:name w:val="目录"/>
    <w:basedOn w:val="1"/>
    <w:link w:val="51"/>
    <w:unhideWhenUsed/>
    <w:qFormat/>
    <w:uiPriority w:val="99"/>
    <w:pPr>
      <w:shd w:val="clear" w:color="auto" w:fill="FFFFFF"/>
      <w:ind w:firstLine="840"/>
    </w:pPr>
    <w:rPr>
      <w:rFonts w:hint="eastAsia" w:ascii="MingLiU" w:hAnsi="MingLiU" w:eastAsia="MingLiU"/>
      <w:sz w:val="20"/>
      <w:lang w:val="zh-CN"/>
    </w:rPr>
  </w:style>
  <w:style w:type="character" w:customStyle="1" w:styleId="53">
    <w:name w:val="正文文本 (8)_"/>
    <w:basedOn w:val="25"/>
    <w:link w:val="54"/>
    <w:unhideWhenUsed/>
    <w:qFormat/>
    <w:uiPriority w:val="99"/>
    <w:rPr>
      <w:rFonts w:hint="eastAsia" w:ascii="MingLiU" w:hAnsi="MingLiU" w:eastAsia="MingLiU"/>
      <w:b/>
      <w:sz w:val="42"/>
      <w:lang w:val="zh-CN" w:eastAsia="zh-CN"/>
    </w:rPr>
  </w:style>
  <w:style w:type="paragraph" w:customStyle="1" w:styleId="54">
    <w:name w:val="正文文本 (8)"/>
    <w:basedOn w:val="1"/>
    <w:link w:val="53"/>
    <w:unhideWhenUsed/>
    <w:qFormat/>
    <w:uiPriority w:val="99"/>
    <w:pPr>
      <w:shd w:val="clear" w:color="auto" w:fill="FFFFFF"/>
      <w:jc w:val="center"/>
    </w:pPr>
    <w:rPr>
      <w:rFonts w:hint="eastAsia" w:ascii="MingLiU" w:hAnsi="MingLiU" w:eastAsia="MingLiU"/>
      <w:b/>
      <w:sz w:val="42"/>
      <w:lang w:val="zh-CN"/>
    </w:rPr>
  </w:style>
  <w:style w:type="character" w:customStyle="1" w:styleId="55">
    <w:name w:val="标题 #3_"/>
    <w:basedOn w:val="25"/>
    <w:link w:val="56"/>
    <w:unhideWhenUsed/>
    <w:qFormat/>
    <w:uiPriority w:val="99"/>
    <w:rPr>
      <w:rFonts w:hint="eastAsia" w:ascii="MingLiU" w:hAnsi="MingLiU" w:eastAsia="MingLiU"/>
      <w:sz w:val="26"/>
      <w:lang w:val="zh-CN" w:eastAsia="zh-CN"/>
    </w:rPr>
  </w:style>
  <w:style w:type="paragraph" w:customStyle="1" w:styleId="56">
    <w:name w:val="标题 #3"/>
    <w:basedOn w:val="1"/>
    <w:link w:val="55"/>
    <w:unhideWhenUsed/>
    <w:qFormat/>
    <w:uiPriority w:val="99"/>
    <w:pPr>
      <w:shd w:val="clear" w:color="auto" w:fill="FFFFFF"/>
      <w:spacing w:after="240"/>
      <w:ind w:firstLine="160"/>
      <w:outlineLvl w:val="2"/>
    </w:pPr>
    <w:rPr>
      <w:rFonts w:hint="eastAsia" w:ascii="MingLiU" w:hAnsi="MingLiU" w:eastAsia="MingLiU"/>
      <w:sz w:val="26"/>
      <w:lang w:val="zh-CN"/>
    </w:rPr>
  </w:style>
  <w:style w:type="character" w:customStyle="1" w:styleId="57">
    <w:name w:val="表格标题_"/>
    <w:basedOn w:val="25"/>
    <w:link w:val="58"/>
    <w:unhideWhenUsed/>
    <w:qFormat/>
    <w:uiPriority w:val="99"/>
    <w:rPr>
      <w:rFonts w:hint="eastAsia" w:ascii="MingLiU" w:hAnsi="MingLiU" w:eastAsia="MingLiU"/>
      <w:sz w:val="20"/>
      <w:lang w:val="zh-CN" w:eastAsia="zh-CN"/>
    </w:rPr>
  </w:style>
  <w:style w:type="paragraph" w:customStyle="1" w:styleId="58">
    <w:name w:val="表格标题"/>
    <w:basedOn w:val="1"/>
    <w:link w:val="57"/>
    <w:unhideWhenUsed/>
    <w:qFormat/>
    <w:uiPriority w:val="99"/>
    <w:pPr>
      <w:shd w:val="clear" w:color="auto" w:fill="FFFFFF"/>
    </w:pPr>
    <w:rPr>
      <w:rFonts w:hint="eastAsia" w:ascii="MingLiU" w:hAnsi="MingLiU" w:eastAsia="MingLiU"/>
      <w:sz w:val="20"/>
      <w:lang w:val="zh-CN"/>
    </w:rPr>
  </w:style>
  <w:style w:type="character" w:customStyle="1" w:styleId="59">
    <w:name w:val="正文文本 (7)_"/>
    <w:basedOn w:val="25"/>
    <w:link w:val="60"/>
    <w:unhideWhenUsed/>
    <w:qFormat/>
    <w:uiPriority w:val="99"/>
    <w:rPr>
      <w:rFonts w:hint="eastAsia" w:ascii="MingLiU" w:hAnsi="MingLiU" w:eastAsia="MingLiU"/>
      <w:b/>
      <w:sz w:val="32"/>
      <w:lang w:val="zh-CN" w:eastAsia="zh-CN"/>
    </w:rPr>
  </w:style>
  <w:style w:type="paragraph" w:customStyle="1" w:styleId="60">
    <w:name w:val="正文文本 (7)"/>
    <w:basedOn w:val="1"/>
    <w:link w:val="59"/>
    <w:autoRedefine/>
    <w:unhideWhenUsed/>
    <w:qFormat/>
    <w:uiPriority w:val="99"/>
    <w:pPr>
      <w:shd w:val="clear" w:color="auto" w:fill="FFFFFF"/>
      <w:jc w:val="center"/>
    </w:pPr>
    <w:rPr>
      <w:rFonts w:hint="eastAsia" w:ascii="MingLiU" w:hAnsi="MingLiU" w:eastAsia="MingLiU"/>
      <w:b/>
      <w:sz w:val="32"/>
      <w:lang w:val="zh-CN"/>
    </w:rPr>
  </w:style>
  <w:style w:type="character" w:customStyle="1" w:styleId="61">
    <w:name w:val="font31"/>
    <w:basedOn w:val="25"/>
    <w:qFormat/>
    <w:uiPriority w:val="0"/>
    <w:rPr>
      <w:rFonts w:ascii="Calibri" w:hAnsi="Calibri" w:cs="Calibri"/>
      <w:color w:val="000000"/>
      <w:sz w:val="22"/>
      <w:szCs w:val="22"/>
      <w:u w:val="none"/>
    </w:rPr>
  </w:style>
  <w:style w:type="character" w:customStyle="1" w:styleId="62">
    <w:name w:val="其他_"/>
    <w:basedOn w:val="25"/>
    <w:link w:val="63"/>
    <w:unhideWhenUsed/>
    <w:qFormat/>
    <w:uiPriority w:val="99"/>
    <w:rPr>
      <w:rFonts w:hint="eastAsia" w:ascii="MingLiU" w:hAnsi="MingLiU" w:eastAsia="MingLiU"/>
      <w:sz w:val="20"/>
      <w:lang w:val="zh-CN" w:eastAsia="zh-CN"/>
    </w:rPr>
  </w:style>
  <w:style w:type="paragraph" w:customStyle="1" w:styleId="63">
    <w:name w:val="其他"/>
    <w:basedOn w:val="1"/>
    <w:link w:val="62"/>
    <w:unhideWhenUsed/>
    <w:qFormat/>
    <w:uiPriority w:val="99"/>
    <w:pPr>
      <w:shd w:val="clear" w:color="auto" w:fill="FFFFFF"/>
      <w:spacing w:line="398" w:lineRule="auto"/>
      <w:ind w:firstLine="400"/>
    </w:pPr>
    <w:rPr>
      <w:rFonts w:hint="eastAsia" w:ascii="MingLiU" w:hAnsi="MingLiU" w:eastAsia="MingLiU"/>
      <w:sz w:val="20"/>
      <w:lang w:val="zh-CN"/>
    </w:rPr>
  </w:style>
  <w:style w:type="character" w:customStyle="1" w:styleId="64">
    <w:name w:val="正文文本_"/>
    <w:basedOn w:val="25"/>
    <w:link w:val="65"/>
    <w:autoRedefine/>
    <w:unhideWhenUsed/>
    <w:qFormat/>
    <w:uiPriority w:val="99"/>
    <w:rPr>
      <w:rFonts w:hint="eastAsia" w:ascii="MingLiU" w:hAnsi="MingLiU" w:eastAsia="MingLiU"/>
      <w:sz w:val="20"/>
      <w:lang w:val="zh-CN" w:eastAsia="zh-CN"/>
    </w:rPr>
  </w:style>
  <w:style w:type="paragraph" w:customStyle="1" w:styleId="65">
    <w:name w:val="正文文本1"/>
    <w:basedOn w:val="1"/>
    <w:link w:val="64"/>
    <w:autoRedefine/>
    <w:unhideWhenUsed/>
    <w:qFormat/>
    <w:uiPriority w:val="99"/>
    <w:pPr>
      <w:shd w:val="clear" w:color="auto" w:fill="FFFFFF"/>
      <w:spacing w:line="398" w:lineRule="auto"/>
      <w:ind w:firstLine="400"/>
    </w:pPr>
    <w:rPr>
      <w:rFonts w:hint="eastAsia" w:ascii="MingLiU" w:hAnsi="MingLiU" w:eastAsia="MingLiU"/>
      <w:sz w:val="20"/>
      <w:lang w:val="zh-CN"/>
    </w:rPr>
  </w:style>
  <w:style w:type="paragraph" w:customStyle="1" w:styleId="66">
    <w:name w:val="列出段落"/>
    <w:basedOn w:val="1"/>
    <w:autoRedefine/>
    <w:qFormat/>
    <w:uiPriority w:val="1"/>
    <w:pPr>
      <w:spacing w:before="119"/>
      <w:ind w:left="542" w:firstLine="439"/>
    </w:pPr>
    <w:rPr>
      <w:rFonts w:ascii="宋体" w:hAnsi="宋体" w:cs="宋体"/>
      <w:lang w:val="zh-CN" w:bidi="zh-CN"/>
    </w:rPr>
  </w:style>
  <w:style w:type="paragraph" w:customStyle="1" w:styleId="67">
    <w:name w:val="Table Paragraph"/>
    <w:basedOn w:val="1"/>
    <w:unhideWhenUsed/>
    <w:qFormat/>
    <w:uiPriority w:val="1"/>
    <w:pPr>
      <w:autoSpaceDE w:val="0"/>
      <w:autoSpaceDN w:val="0"/>
    </w:pPr>
    <w:rPr>
      <w:rFonts w:hint="eastAsia" w:ascii="宋体" w:hAnsi="宋体"/>
      <w:sz w:val="22"/>
      <w:lang w:val="zh-CN"/>
    </w:rPr>
  </w:style>
  <w:style w:type="paragraph" w:customStyle="1" w:styleId="68">
    <w:name w:val="WPSOffice手动目录 1"/>
    <w:autoRedefine/>
    <w:qFormat/>
    <w:uiPriority w:val="0"/>
    <w:rPr>
      <w:rFonts w:ascii="Calibri" w:hAnsi="Calibri" w:eastAsia="宋体" w:cs="Times New Roman"/>
      <w:lang w:val="en-US" w:eastAsia="zh-CN" w:bidi="ar-SA"/>
    </w:rPr>
  </w:style>
  <w:style w:type="paragraph" w:customStyle="1" w:styleId="69">
    <w:name w:val="WPSOffice手动目录 3"/>
    <w:qFormat/>
    <w:uiPriority w:val="0"/>
    <w:pPr>
      <w:ind w:leftChars="400"/>
    </w:pPr>
    <w:rPr>
      <w:rFonts w:ascii="Times New Roman" w:hAnsi="Times New Roman" w:eastAsia="宋体" w:cs="Times New Roman"/>
      <w:lang w:val="en-US" w:eastAsia="zh-CN" w:bidi="ar-SA"/>
    </w:rPr>
  </w:style>
  <w:style w:type="paragraph" w:customStyle="1" w:styleId="70">
    <w:name w:val="WPSOffice手动目录 2"/>
    <w:autoRedefine/>
    <w:qFormat/>
    <w:uiPriority w:val="0"/>
    <w:pPr>
      <w:ind w:leftChars="200"/>
    </w:pPr>
    <w:rPr>
      <w:rFonts w:ascii="Calibri" w:hAnsi="Calibri" w:eastAsia="宋体" w:cs="Times New Roman"/>
      <w:lang w:val="en-US" w:eastAsia="zh-CN" w:bidi="ar-SA"/>
    </w:rPr>
  </w:style>
  <w:style w:type="paragraph" w:customStyle="1" w:styleId="71">
    <w:name w:val="List Paragraph"/>
    <w:basedOn w:val="1"/>
    <w:autoRedefine/>
    <w:qFormat/>
    <w:uiPriority w:val="34"/>
    <w:pPr>
      <w:widowControl w:val="0"/>
      <w:ind w:firstLine="420" w:firstLineChars="200"/>
      <w:jc w:val="both"/>
    </w:pPr>
    <w:rPr>
      <w:rFonts w:ascii="Calibri" w:hAnsi="Calibri"/>
      <w:kern w:val="2"/>
      <w:sz w:val="21"/>
      <w:szCs w:val="22"/>
    </w:rPr>
  </w:style>
  <w:style w:type="paragraph" w:customStyle="1" w:styleId="72">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4037;&#20316;&#26381;4.1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contractReview xmlns="http://schemas.wps.cn/vas-ai-hub/contract-review">
  <reviewItems>
    <reviewItem>
      <errorID>ccfc6bab-4302-4969-b438-eb6bc2624eff</errorID>
      <errorWord>（</errorWord>
      <group>L1_Punc</group>
      <groupName>标点问题</groupName>
      <ability>L2_Punc</ability>
      <abilityName>标点符号检查</abilityName>
      <candidateList/>
      <explain>同一形式括号套用。</explain>
      <paraID>7F6BEB18</paraID>
      <start>133</start>
      <end>134</end>
      <status>ignored</status>
      <modifiedWord/>
      <trackRevisions>false</trackRevisions>
    </reviewItem>
    <reviewItem>
      <errorID>2a5b4a2b-0bdc-4eac-963f-2572e991348d</errorID>
      <errorWord>）</errorWord>
      <group>L1_Punc</group>
      <groupName>标点问题</groupName>
      <ability>L2_Punc</ability>
      <abilityName>标点符号检查</abilityName>
      <candidateList/>
      <explain>同一形式括号套用。</explain>
      <paraID>7F6BEB18</paraID>
      <start>139</start>
      <end>140</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a4fee3b-b080-4bca-827c-24b3a8575bce}">
  <ds:schemaRefs/>
</ds:datastoreItem>
</file>

<file path=docProps/app.xml><?xml version="1.0" encoding="utf-8"?>
<Properties xmlns="http://schemas.openxmlformats.org/officeDocument/2006/extended-properties" xmlns:vt="http://schemas.openxmlformats.org/officeDocument/2006/docPropsVTypes">
  <Template>工作服4.12.doc</Template>
  <Company>HP</Company>
  <Pages>21</Pages>
  <Words>8664</Words>
  <Characters>9236</Characters>
  <Lines>340</Lines>
  <Paragraphs>95</Paragraphs>
  <TotalTime>9</TotalTime>
  <ScaleCrop>false</ScaleCrop>
  <LinksUpToDate>false</LinksUpToDate>
  <CharactersWithSpaces>9790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2021-04-27T09:26:00Z</dcterms:created>
  <dc:creator>Administrator</dc:creator>
  <cp:lastModifiedBy>汤俊 13026242779</cp:lastModifiedBy>
  <cp:lastPrinted>2026-05-11T10:12:00Z</cp:lastPrinted>
  <dcterms:modified xsi:type="dcterms:W3CDTF">2026-05-14T07:37:33Z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C8FC344A38A4453DA9C84D6D9C19CD36_13</vt:lpwstr>
  </property>
  <property fmtid="{D5CDD505-2E9C-101B-9397-08002B2CF9AE}" pid="4" name="commondata">
    <vt:lpwstr>eyJoZGlkIjoiZDE1OGRmZTUwYzBiYTFjYzc3MjA3MjhlMzQ4YzFjODcifQ==</vt:lpwstr>
  </property>
  <property fmtid="{D5CDD505-2E9C-101B-9397-08002B2CF9AE}" pid="5" name="KSOTemplateDocerSaveRecord">
    <vt:lpwstr>eyJoZGlkIjoiNTFjNzhhZGYwNjg0MTU4YTViYTk1YmY4ZGE2MDMzMDAiLCJ1c2VySWQiOiI0MTA5MjU2MDMifQ==</vt:lpwstr>
  </property>
</Properties>
</file>