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B550B">
      <w:pPr>
        <w:pStyle w:val="63"/>
        <w:tabs>
          <w:tab w:val="left" w:leader="underscore" w:pos="1123"/>
        </w:tabs>
        <w:spacing w:after="360" w:line="240" w:lineRule="auto"/>
        <w:ind w:firstLine="0"/>
        <w:jc w:val="both"/>
        <w:rPr>
          <w:rStyle w:val="62"/>
          <w:rFonts w:hint="default" w:ascii="仿宋" w:hAnsi="仿宋" w:eastAsia="仿宋" w:cs="仿宋"/>
          <w:color w:val="auto"/>
          <w:sz w:val="26"/>
          <w:highlight w:val="none"/>
          <w:lang w:val="en-US"/>
        </w:rPr>
      </w:pPr>
      <w:r>
        <w:rPr>
          <w:rStyle w:val="62"/>
          <w:rFonts w:hint="eastAsia" w:ascii="仿宋" w:hAnsi="仿宋" w:eastAsia="仿宋" w:cs="仿宋"/>
          <w:color w:val="auto"/>
          <w:sz w:val="26"/>
          <w:highlight w:val="none"/>
          <w:lang w:val="en-US"/>
        </w:rPr>
        <w:t>·</w:t>
      </w:r>
      <w:r>
        <w:rPr>
          <w:rStyle w:val="62"/>
          <w:rFonts w:hint="eastAsia" w:ascii="仿宋" w:hAnsi="仿宋" w:eastAsia="仿宋" w:cs="仿宋"/>
          <w:color w:val="auto"/>
          <w:sz w:val="26"/>
          <w:highlight w:val="none"/>
          <w:lang w:val="en-US"/>
        </w:rPr>
        <w:tab/>
      </w:r>
    </w:p>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赣州景区建设运营有限公司调料类产品2026-2027年度框架协议供应商入围征集</w:t>
      </w:r>
      <w:r>
        <w:rPr>
          <w:rFonts w:hint="eastAsia" w:ascii="仿宋" w:hAnsi="仿宋" w:eastAsia="仿宋" w:cs="仿宋"/>
          <w:b/>
          <w:bCs/>
          <w:color w:val="auto"/>
          <w:sz w:val="28"/>
          <w:szCs w:val="28"/>
          <w:highlight w:val="none"/>
          <w:u w:val="single"/>
        </w:rPr>
        <w:t>项目</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44"/>
          <w:szCs w:val="44"/>
          <w:highlight w:val="none"/>
        </w:rPr>
      </w:pPr>
      <w:r>
        <w:rPr>
          <w:rStyle w:val="62"/>
          <w:rFonts w:hint="eastAsia" w:ascii="仿宋" w:hAnsi="仿宋" w:eastAsia="仿宋" w:cs="仿宋"/>
          <w:b/>
          <w:bCs/>
          <w:color w:val="auto"/>
          <w:spacing w:val="206"/>
          <w:kern w:val="0"/>
          <w:sz w:val="44"/>
          <w:szCs w:val="44"/>
          <w:highlight w:val="none"/>
          <w:fitText w:val="3000" w:id="1857494822"/>
          <w:lang w:val="en-US"/>
        </w:rPr>
        <w:t>征集</w:t>
      </w:r>
      <w:r>
        <w:rPr>
          <w:rStyle w:val="62"/>
          <w:rFonts w:hint="eastAsia" w:ascii="仿宋" w:hAnsi="仿宋" w:eastAsia="仿宋" w:cs="仿宋"/>
          <w:b/>
          <w:bCs/>
          <w:color w:val="auto"/>
          <w:spacing w:val="206"/>
          <w:kern w:val="0"/>
          <w:sz w:val="44"/>
          <w:szCs w:val="44"/>
          <w:highlight w:val="none"/>
          <w:fitText w:val="3000" w:id="1857494822"/>
        </w:rPr>
        <w:t>文</w:t>
      </w:r>
      <w:r>
        <w:rPr>
          <w:rStyle w:val="62"/>
          <w:rFonts w:hint="eastAsia" w:ascii="仿宋" w:hAnsi="仿宋" w:eastAsia="仿宋" w:cs="仿宋"/>
          <w:b/>
          <w:bCs/>
          <w:color w:val="auto"/>
          <w:spacing w:val="2"/>
          <w:kern w:val="0"/>
          <w:sz w:val="44"/>
          <w:szCs w:val="44"/>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8"/>
          <w:szCs w:val="28"/>
          <w:highlight w:val="none"/>
          <w:lang w:val="en-US"/>
        </w:rPr>
      </w:pPr>
      <w:r>
        <w:rPr>
          <w:rFonts w:hint="eastAsia" w:ascii="仿宋" w:hAnsi="仿宋" w:eastAsia="仿宋" w:cs="仿宋"/>
          <w:b/>
          <w:bCs/>
          <w:color w:val="auto"/>
          <w:sz w:val="28"/>
          <w:szCs w:val="28"/>
          <w:highlight w:val="none"/>
          <w:lang w:val="en-US" w:eastAsia="zh-CN"/>
        </w:rPr>
        <w:t>采购</w:t>
      </w:r>
      <w:r>
        <w:rPr>
          <w:rFonts w:hint="eastAsia" w:ascii="仿宋" w:hAnsi="仿宋" w:eastAsia="仿宋" w:cs="仿宋"/>
          <w:b/>
          <w:bCs/>
          <w:color w:val="auto"/>
          <w:sz w:val="28"/>
          <w:szCs w:val="28"/>
          <w:highlight w:val="none"/>
        </w:rPr>
        <w:t>人：</w:t>
      </w:r>
      <w:r>
        <w:rPr>
          <w:rFonts w:hint="eastAsia" w:ascii="仿宋" w:hAnsi="仿宋" w:eastAsia="仿宋" w:cs="仿宋"/>
          <w:b/>
          <w:bCs/>
          <w:color w:val="auto"/>
          <w:sz w:val="28"/>
          <w:szCs w:val="28"/>
          <w:highlight w:val="none"/>
        </w:rPr>
        <w:tab/>
      </w:r>
      <w:r>
        <w:rPr>
          <w:rFonts w:hint="eastAsia" w:ascii="仿宋" w:hAnsi="仿宋" w:eastAsia="仿宋" w:cs="仿宋"/>
          <w:b/>
          <w:bCs/>
          <w:color w:val="auto"/>
          <w:sz w:val="28"/>
          <w:szCs w:val="28"/>
          <w:highlight w:val="none"/>
          <w:u w:val="single"/>
          <w:lang w:eastAsia="zh-CN"/>
        </w:rPr>
        <w:t>赣州景区建设运营有限公司</w:t>
      </w:r>
    </w:p>
    <w:p w14:paraId="656B5B83">
      <w:pPr>
        <w:spacing w:line="360" w:lineRule="auto"/>
        <w:jc w:val="center"/>
        <w:rPr>
          <w:rFonts w:hint="eastAsia" w:ascii="仿宋" w:hAnsi="仿宋" w:eastAsia="仿宋" w:cs="仿宋"/>
          <w:color w:val="auto"/>
          <w:sz w:val="28"/>
          <w:szCs w:val="28"/>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8"/>
          <w:szCs w:val="28"/>
          <w:highlight w:val="none"/>
          <w:u w:val="single"/>
          <w:lang w:val="en-US"/>
        </w:rPr>
        <w:t>2026</w:t>
      </w:r>
      <w:r>
        <w:rPr>
          <w:rStyle w:val="62"/>
          <w:rFonts w:hint="eastAsia" w:ascii="仿宋" w:hAnsi="仿宋" w:eastAsia="仿宋" w:cs="仿宋"/>
          <w:b/>
          <w:bCs/>
          <w:color w:val="auto"/>
          <w:sz w:val="28"/>
          <w:szCs w:val="28"/>
          <w:highlight w:val="none"/>
          <w:lang w:val="en-US"/>
        </w:rPr>
        <w:t>年</w:t>
      </w:r>
      <w:r>
        <w:rPr>
          <w:rStyle w:val="62"/>
          <w:rFonts w:hint="eastAsia" w:ascii="仿宋" w:hAnsi="仿宋" w:eastAsia="仿宋" w:cs="仿宋"/>
          <w:b/>
          <w:bCs/>
          <w:color w:val="auto"/>
          <w:sz w:val="28"/>
          <w:szCs w:val="28"/>
          <w:highlight w:val="none"/>
          <w:u w:val="single"/>
          <w:lang w:val="en-US"/>
        </w:rPr>
        <w:t>5月</w:t>
      </w:r>
    </w:p>
    <w:sdt>
      <w:sdtPr>
        <w:rPr>
          <w:rFonts w:ascii="宋体" w:hAnsi="宋体" w:eastAsia="宋体" w:cs="Times New Roman"/>
          <w:b/>
          <w:bCs/>
          <w:kern w:val="2"/>
          <w:sz w:val="30"/>
          <w:szCs w:val="30"/>
          <w:lang w:val="en-US" w:eastAsia="zh-CN" w:bidi="ar-SA"/>
        </w:rPr>
        <w:id w:val="147478244"/>
        <w15:color w:val="DBDBDB"/>
        <w:docPartObj>
          <w:docPartGallery w:val="Table of Contents"/>
          <w:docPartUnique/>
        </w:docPartObj>
      </w:sdtPr>
      <w:sdtEndPr>
        <w:rPr>
          <w:rFonts w:ascii="宋体" w:hAnsi="宋体" w:eastAsia="宋体" w:cs="Times New Roman"/>
          <w:b/>
          <w:bCs/>
          <w:kern w:val="2"/>
          <w:sz w:val="21"/>
          <w:szCs w:val="24"/>
          <w:lang w:val="en-US" w:eastAsia="zh-CN" w:bidi="ar-SA"/>
        </w:rPr>
      </w:sdtEndPr>
      <w:sdtContent>
        <w:p w14:paraId="7962CE71">
          <w:pPr>
            <w:spacing w:before="0" w:beforeLines="0" w:after="0" w:afterLines="0" w:line="240" w:lineRule="auto"/>
            <w:ind w:left="0" w:leftChars="0" w:right="0" w:rightChars="0" w:firstLine="0" w:firstLineChars="0"/>
            <w:jc w:val="center"/>
            <w:rPr>
              <w:b/>
              <w:bCs/>
              <w:sz w:val="30"/>
              <w:szCs w:val="30"/>
            </w:rPr>
          </w:pPr>
          <w:r>
            <w:rPr>
              <w:rFonts w:ascii="宋体" w:hAnsi="宋体" w:eastAsia="宋体"/>
              <w:b/>
              <w:bCs/>
              <w:sz w:val="30"/>
              <w:szCs w:val="30"/>
            </w:rPr>
            <w:t>目录</w:t>
          </w:r>
        </w:p>
        <w:p w14:paraId="31179E7F">
          <w:pPr>
            <w:pStyle w:val="17"/>
            <w:tabs>
              <w:tab w:val="right" w:leader="dot" w:pos="8306"/>
            </w:tabs>
          </w:pPr>
          <w:r>
            <w:fldChar w:fldCharType="begin"/>
          </w:r>
          <w:r>
            <w:instrText xml:space="preserve">TOC \o "1-2" \h \u </w:instrText>
          </w:r>
          <w:r>
            <w:fldChar w:fldCharType="separate"/>
          </w:r>
          <w:r>
            <w:fldChar w:fldCharType="begin"/>
          </w:r>
          <w:r>
            <w:instrText xml:space="preserve"> HYPERLINK \l _Toc18604 </w:instrText>
          </w:r>
          <w:r>
            <w:fldChar w:fldCharType="separate"/>
          </w:r>
          <w:r>
            <w:rPr>
              <w:rFonts w:hint="eastAsia" w:ascii="仿宋" w:hAnsi="仿宋" w:eastAsia="仿宋" w:cs="仿宋"/>
              <w:highlight w:val="none"/>
            </w:rPr>
            <w:t>第一章</w:t>
          </w:r>
          <w:r>
            <w:rPr>
              <w:rFonts w:hint="eastAsia" w:ascii="仿宋" w:hAnsi="仿宋" w:eastAsia="仿宋" w:cs="仿宋"/>
              <w:highlight w:val="none"/>
              <w:lang w:val="en-US" w:eastAsia="zh-CN"/>
            </w:rPr>
            <w:t xml:space="preserve"> 征集</w:t>
          </w:r>
          <w:r>
            <w:rPr>
              <w:rFonts w:hint="eastAsia" w:ascii="仿宋" w:hAnsi="仿宋" w:eastAsia="仿宋" w:cs="仿宋"/>
              <w:highlight w:val="none"/>
            </w:rPr>
            <w:t>公告</w:t>
          </w:r>
          <w:r>
            <w:tab/>
          </w:r>
          <w:r>
            <w:fldChar w:fldCharType="begin"/>
          </w:r>
          <w:r>
            <w:instrText xml:space="preserve"> PAGEREF _Toc18604 \h </w:instrText>
          </w:r>
          <w:r>
            <w:fldChar w:fldCharType="separate"/>
          </w:r>
          <w:r>
            <w:t>2</w:t>
          </w:r>
          <w:r>
            <w:fldChar w:fldCharType="end"/>
          </w:r>
          <w:r>
            <w:fldChar w:fldCharType="end"/>
          </w:r>
        </w:p>
        <w:p w14:paraId="072D656B">
          <w:pPr>
            <w:pStyle w:val="18"/>
            <w:tabs>
              <w:tab w:val="right" w:leader="dot" w:pos="8306"/>
            </w:tabs>
          </w:pPr>
          <w:r>
            <w:fldChar w:fldCharType="begin"/>
          </w:r>
          <w:r>
            <w:instrText xml:space="preserve"> HYPERLINK \l _Toc14842 </w:instrText>
          </w:r>
          <w:r>
            <w:fldChar w:fldCharType="separate"/>
          </w:r>
          <w:r>
            <w:rPr>
              <w:rFonts w:hint="eastAsia" w:ascii="仿宋" w:hAnsi="仿宋" w:eastAsia="仿宋" w:cs="仿宋"/>
              <w:kern w:val="2"/>
              <w:szCs w:val="32"/>
              <w:lang w:val="en-US" w:eastAsia="zh-CN" w:bidi="ar-SA"/>
            </w:rPr>
            <w:t>1.</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条件</w:t>
          </w:r>
          <w:r>
            <w:tab/>
          </w:r>
          <w:r>
            <w:fldChar w:fldCharType="begin"/>
          </w:r>
          <w:r>
            <w:instrText xml:space="preserve"> PAGEREF _Toc14842 \h </w:instrText>
          </w:r>
          <w:r>
            <w:fldChar w:fldCharType="separate"/>
          </w:r>
          <w:r>
            <w:t>2</w:t>
          </w:r>
          <w:r>
            <w:fldChar w:fldCharType="end"/>
          </w:r>
          <w:r>
            <w:fldChar w:fldCharType="end"/>
          </w:r>
        </w:p>
        <w:p w14:paraId="238D0BCB">
          <w:pPr>
            <w:pStyle w:val="18"/>
            <w:tabs>
              <w:tab w:val="right" w:leader="dot" w:pos="8306"/>
            </w:tabs>
          </w:pPr>
          <w:r>
            <w:fldChar w:fldCharType="begin"/>
          </w:r>
          <w:r>
            <w:instrText xml:space="preserve"> HYPERLINK \l _Toc21513 </w:instrText>
          </w:r>
          <w:r>
            <w:fldChar w:fldCharType="separate"/>
          </w:r>
          <w:r>
            <w:rPr>
              <w:rFonts w:hint="eastAsia" w:ascii="仿宋" w:hAnsi="仿宋" w:eastAsia="仿宋" w:cs="仿宋"/>
              <w:kern w:val="2"/>
              <w:szCs w:val="32"/>
              <w:lang w:val="en-US" w:eastAsia="zh-CN" w:bidi="ar-SA"/>
            </w:rPr>
            <w:t>2.</w:t>
          </w:r>
          <w:r>
            <w:rPr>
              <w:rFonts w:hint="eastAsia" w:ascii="仿宋" w:hAnsi="仿宋" w:eastAsia="仿宋" w:cs="仿宋"/>
              <w:szCs w:val="32"/>
              <w:highlight w:val="none"/>
            </w:rPr>
            <w:t>项目概况与</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范围</w:t>
          </w:r>
          <w:r>
            <w:tab/>
          </w:r>
          <w:r>
            <w:fldChar w:fldCharType="begin"/>
          </w:r>
          <w:r>
            <w:instrText xml:space="preserve"> PAGEREF _Toc21513 \h </w:instrText>
          </w:r>
          <w:r>
            <w:fldChar w:fldCharType="separate"/>
          </w:r>
          <w:r>
            <w:t>2</w:t>
          </w:r>
          <w:r>
            <w:fldChar w:fldCharType="end"/>
          </w:r>
          <w:r>
            <w:fldChar w:fldCharType="end"/>
          </w:r>
        </w:p>
        <w:p w14:paraId="1ED2BE94">
          <w:pPr>
            <w:pStyle w:val="18"/>
            <w:tabs>
              <w:tab w:val="right" w:leader="dot" w:pos="8306"/>
            </w:tabs>
          </w:pPr>
          <w:r>
            <w:fldChar w:fldCharType="begin"/>
          </w:r>
          <w:r>
            <w:instrText xml:space="preserve"> HYPERLINK \l _Toc27235 </w:instrText>
          </w:r>
          <w:r>
            <w:fldChar w:fldCharType="separate"/>
          </w:r>
          <w:r>
            <w:rPr>
              <w:rFonts w:hint="eastAsia" w:ascii="仿宋" w:hAnsi="仿宋" w:eastAsia="仿宋" w:cs="仿宋"/>
              <w:kern w:val="2"/>
              <w:szCs w:val="24"/>
              <w:highlight w:val="none"/>
              <w:lang w:val="en-US" w:eastAsia="zh-CN" w:bidi="ar-SA"/>
            </w:rPr>
            <w:t>3.</w:t>
          </w:r>
          <w:r>
            <w:rPr>
              <w:rFonts w:hint="eastAsia" w:ascii="仿宋" w:hAnsi="仿宋" w:eastAsia="仿宋" w:cs="仿宋"/>
              <w:highlight w:val="none"/>
              <w:lang w:val="en-US" w:eastAsia="zh-CN"/>
            </w:rPr>
            <w:t>供应商</w:t>
          </w:r>
          <w:r>
            <w:rPr>
              <w:rFonts w:hint="eastAsia" w:ascii="仿宋" w:hAnsi="仿宋" w:eastAsia="仿宋" w:cs="仿宋"/>
              <w:highlight w:val="none"/>
            </w:rPr>
            <w:t>资格要求</w:t>
          </w:r>
          <w:r>
            <w:tab/>
          </w:r>
          <w:r>
            <w:fldChar w:fldCharType="begin"/>
          </w:r>
          <w:r>
            <w:instrText xml:space="preserve"> PAGEREF _Toc27235 \h </w:instrText>
          </w:r>
          <w:r>
            <w:fldChar w:fldCharType="separate"/>
          </w:r>
          <w:r>
            <w:t>2</w:t>
          </w:r>
          <w:r>
            <w:fldChar w:fldCharType="end"/>
          </w:r>
          <w:r>
            <w:fldChar w:fldCharType="end"/>
          </w:r>
        </w:p>
        <w:p w14:paraId="5F0F0AD2">
          <w:pPr>
            <w:pStyle w:val="18"/>
            <w:tabs>
              <w:tab w:val="right" w:leader="dot" w:pos="8306"/>
            </w:tabs>
          </w:pPr>
          <w:r>
            <w:fldChar w:fldCharType="begin"/>
          </w:r>
          <w:r>
            <w:instrText xml:space="preserve"> HYPERLINK \l _Toc11894 </w:instrText>
          </w:r>
          <w:r>
            <w:fldChar w:fldCharType="separate"/>
          </w:r>
          <w:r>
            <w:rPr>
              <w:rFonts w:hint="eastAsia" w:ascii="仿宋" w:hAnsi="仿宋" w:eastAsia="仿宋" w:cs="仿宋"/>
              <w:kern w:val="2"/>
              <w:szCs w:val="32"/>
              <w:lang w:val="en-US" w:eastAsia="zh-CN" w:bidi="ar-SA"/>
            </w:rPr>
            <w:t>4.</w:t>
          </w:r>
          <w:r>
            <w:rPr>
              <w:rFonts w:hint="eastAsia" w:ascii="仿宋" w:hAnsi="仿宋" w:eastAsia="仿宋" w:cs="仿宋"/>
              <w:szCs w:val="32"/>
              <w:highlight w:val="none"/>
              <w:lang w:val="en-US" w:eastAsia="zh-CN"/>
            </w:rPr>
            <w:t>征集</w:t>
          </w:r>
          <w:r>
            <w:rPr>
              <w:rFonts w:hint="eastAsia" w:ascii="仿宋" w:hAnsi="仿宋" w:eastAsia="仿宋" w:cs="仿宋"/>
              <w:szCs w:val="32"/>
              <w:highlight w:val="none"/>
            </w:rPr>
            <w:t>文件的获取</w:t>
          </w:r>
          <w:r>
            <w:tab/>
          </w:r>
          <w:r>
            <w:fldChar w:fldCharType="begin"/>
          </w:r>
          <w:r>
            <w:instrText xml:space="preserve"> PAGEREF _Toc11894 \h </w:instrText>
          </w:r>
          <w:r>
            <w:fldChar w:fldCharType="separate"/>
          </w:r>
          <w:r>
            <w:t>3</w:t>
          </w:r>
          <w:r>
            <w:fldChar w:fldCharType="end"/>
          </w:r>
          <w:r>
            <w:fldChar w:fldCharType="end"/>
          </w:r>
        </w:p>
        <w:p w14:paraId="341146D0">
          <w:pPr>
            <w:pStyle w:val="18"/>
            <w:tabs>
              <w:tab w:val="right" w:leader="dot" w:pos="8306"/>
            </w:tabs>
          </w:pPr>
          <w:r>
            <w:fldChar w:fldCharType="begin"/>
          </w:r>
          <w:r>
            <w:instrText xml:space="preserve"> HYPERLINK \l _Toc28364 </w:instrText>
          </w:r>
          <w:r>
            <w:fldChar w:fldCharType="separate"/>
          </w:r>
          <w:r>
            <w:rPr>
              <w:rFonts w:hint="eastAsia" w:ascii="仿宋" w:hAnsi="仿宋" w:eastAsia="仿宋" w:cs="仿宋"/>
              <w:kern w:val="2"/>
              <w:szCs w:val="32"/>
              <w:lang w:val="en-US" w:eastAsia="zh-CN" w:bidi="ar-SA"/>
            </w:rPr>
            <w:t>5.</w:t>
          </w:r>
          <w:r>
            <w:rPr>
              <w:rFonts w:hint="eastAsia" w:ascii="仿宋" w:hAnsi="仿宋" w:eastAsia="仿宋" w:cs="仿宋"/>
              <w:szCs w:val="32"/>
              <w:lang w:val="en-US" w:eastAsia="zh-CN"/>
            </w:rPr>
            <w:t>响应</w:t>
          </w:r>
          <w:r>
            <w:rPr>
              <w:rFonts w:hint="eastAsia" w:ascii="仿宋" w:hAnsi="仿宋" w:eastAsia="仿宋" w:cs="仿宋"/>
              <w:szCs w:val="32"/>
              <w:lang w:eastAsia="zh-CN"/>
            </w:rPr>
            <w:t>保证金</w:t>
          </w:r>
          <w:r>
            <w:tab/>
          </w:r>
          <w:r>
            <w:fldChar w:fldCharType="begin"/>
          </w:r>
          <w:r>
            <w:instrText xml:space="preserve"> PAGEREF _Toc28364 \h </w:instrText>
          </w:r>
          <w:r>
            <w:fldChar w:fldCharType="separate"/>
          </w:r>
          <w:r>
            <w:t>3</w:t>
          </w:r>
          <w:r>
            <w:fldChar w:fldCharType="end"/>
          </w:r>
          <w:r>
            <w:fldChar w:fldCharType="end"/>
          </w:r>
        </w:p>
        <w:p w14:paraId="3F6D5717">
          <w:pPr>
            <w:pStyle w:val="18"/>
            <w:tabs>
              <w:tab w:val="right" w:leader="dot" w:pos="8306"/>
            </w:tabs>
          </w:pPr>
          <w:r>
            <w:fldChar w:fldCharType="begin"/>
          </w:r>
          <w:r>
            <w:instrText xml:space="preserve"> HYPERLINK \l _Toc25159 </w:instrText>
          </w:r>
          <w:r>
            <w:fldChar w:fldCharType="separate"/>
          </w:r>
          <w:r>
            <w:rPr>
              <w:rFonts w:hint="eastAsia" w:ascii="仿宋" w:hAnsi="仿宋" w:eastAsia="仿宋" w:cs="仿宋"/>
              <w:highlight w:val="none"/>
              <w:lang w:val="en-US" w:eastAsia="zh-CN"/>
            </w:rPr>
            <w:t>6.响应</w:t>
          </w:r>
          <w:r>
            <w:rPr>
              <w:rFonts w:hint="eastAsia" w:ascii="仿宋" w:hAnsi="仿宋" w:eastAsia="仿宋" w:cs="仿宋"/>
              <w:highlight w:val="none"/>
            </w:rPr>
            <w:t>文件的递交</w:t>
          </w:r>
          <w:r>
            <w:tab/>
          </w:r>
          <w:r>
            <w:fldChar w:fldCharType="begin"/>
          </w:r>
          <w:r>
            <w:instrText xml:space="preserve"> PAGEREF _Toc25159 \h </w:instrText>
          </w:r>
          <w:r>
            <w:fldChar w:fldCharType="separate"/>
          </w:r>
          <w:r>
            <w:t>4</w:t>
          </w:r>
          <w:r>
            <w:fldChar w:fldCharType="end"/>
          </w:r>
          <w:r>
            <w:fldChar w:fldCharType="end"/>
          </w:r>
        </w:p>
        <w:p w14:paraId="3727FA0D">
          <w:pPr>
            <w:pStyle w:val="18"/>
            <w:tabs>
              <w:tab w:val="right" w:leader="dot" w:pos="8306"/>
            </w:tabs>
          </w:pPr>
          <w:r>
            <w:fldChar w:fldCharType="begin"/>
          </w:r>
          <w:r>
            <w:instrText xml:space="preserve"> HYPERLINK \l _Toc7119 </w:instrText>
          </w:r>
          <w:r>
            <w:fldChar w:fldCharType="separate"/>
          </w:r>
          <w:r>
            <w:rPr>
              <w:rFonts w:hint="eastAsia" w:ascii="仿宋" w:hAnsi="仿宋" w:eastAsia="仿宋" w:cs="仿宋"/>
              <w:highlight w:val="none"/>
              <w:lang w:val="en-US" w:eastAsia="zh-CN"/>
            </w:rPr>
            <w:t>7.响应文件的开启</w:t>
          </w:r>
          <w:r>
            <w:tab/>
          </w:r>
          <w:r>
            <w:fldChar w:fldCharType="begin"/>
          </w:r>
          <w:r>
            <w:instrText xml:space="preserve"> PAGEREF _Toc7119 \h </w:instrText>
          </w:r>
          <w:r>
            <w:fldChar w:fldCharType="separate"/>
          </w:r>
          <w:r>
            <w:t>4</w:t>
          </w:r>
          <w:r>
            <w:fldChar w:fldCharType="end"/>
          </w:r>
          <w:r>
            <w:fldChar w:fldCharType="end"/>
          </w:r>
        </w:p>
        <w:p w14:paraId="0D6FD278">
          <w:pPr>
            <w:pStyle w:val="18"/>
            <w:tabs>
              <w:tab w:val="right" w:leader="dot" w:pos="8306"/>
            </w:tabs>
          </w:pPr>
          <w:r>
            <w:fldChar w:fldCharType="begin"/>
          </w:r>
          <w:r>
            <w:instrText xml:space="preserve"> HYPERLINK \l _Toc24321 </w:instrText>
          </w:r>
          <w:r>
            <w:fldChar w:fldCharType="separate"/>
          </w:r>
          <w:r>
            <w:rPr>
              <w:rFonts w:hint="eastAsia" w:ascii="仿宋" w:hAnsi="仿宋" w:eastAsia="仿宋" w:cs="仿宋"/>
              <w:highlight w:val="none"/>
              <w:lang w:val="en-US" w:eastAsia="zh-CN"/>
            </w:rPr>
            <w:t>8.合同签订及付款条件</w:t>
          </w:r>
          <w:r>
            <w:tab/>
          </w:r>
          <w:r>
            <w:fldChar w:fldCharType="begin"/>
          </w:r>
          <w:r>
            <w:instrText xml:space="preserve"> PAGEREF _Toc24321 \h </w:instrText>
          </w:r>
          <w:r>
            <w:fldChar w:fldCharType="separate"/>
          </w:r>
          <w:r>
            <w:t>4</w:t>
          </w:r>
          <w:r>
            <w:fldChar w:fldCharType="end"/>
          </w:r>
          <w:r>
            <w:fldChar w:fldCharType="end"/>
          </w:r>
        </w:p>
        <w:p w14:paraId="6D82FD09">
          <w:pPr>
            <w:pStyle w:val="18"/>
            <w:tabs>
              <w:tab w:val="right" w:leader="dot" w:pos="8306"/>
            </w:tabs>
          </w:pPr>
          <w:r>
            <w:fldChar w:fldCharType="begin"/>
          </w:r>
          <w:r>
            <w:instrText xml:space="preserve"> HYPERLINK \l _Toc763 </w:instrText>
          </w:r>
          <w:r>
            <w:fldChar w:fldCharType="separate"/>
          </w:r>
          <w:r>
            <w:rPr>
              <w:rFonts w:hint="eastAsia" w:ascii="仿宋" w:hAnsi="仿宋" w:eastAsia="仿宋" w:cs="仿宋"/>
              <w:kern w:val="2"/>
              <w:szCs w:val="32"/>
              <w:lang w:val="en-US" w:eastAsia="zh-CN" w:bidi="ar-SA"/>
            </w:rPr>
            <w:t>9.</w:t>
          </w:r>
          <w:r>
            <w:rPr>
              <w:rFonts w:hint="eastAsia" w:ascii="仿宋" w:hAnsi="仿宋" w:eastAsia="仿宋" w:cs="仿宋"/>
              <w:szCs w:val="32"/>
              <w:highlight w:val="none"/>
            </w:rPr>
            <w:t>发布公告的媒介</w:t>
          </w:r>
          <w:r>
            <w:tab/>
          </w:r>
          <w:r>
            <w:fldChar w:fldCharType="begin"/>
          </w:r>
          <w:r>
            <w:instrText xml:space="preserve"> PAGEREF _Toc763 \h </w:instrText>
          </w:r>
          <w:r>
            <w:fldChar w:fldCharType="separate"/>
          </w:r>
          <w:r>
            <w:t>5</w:t>
          </w:r>
          <w:r>
            <w:fldChar w:fldCharType="end"/>
          </w:r>
          <w:r>
            <w:fldChar w:fldCharType="end"/>
          </w:r>
        </w:p>
        <w:p w14:paraId="04993BFD">
          <w:pPr>
            <w:pStyle w:val="18"/>
            <w:tabs>
              <w:tab w:val="right" w:leader="dot" w:pos="8306"/>
            </w:tabs>
          </w:pPr>
          <w:r>
            <w:fldChar w:fldCharType="begin"/>
          </w:r>
          <w:r>
            <w:instrText xml:space="preserve"> HYPERLINK \l _Toc22412 </w:instrText>
          </w:r>
          <w:r>
            <w:fldChar w:fldCharType="separate"/>
          </w:r>
          <w:r>
            <w:rPr>
              <w:rFonts w:hint="eastAsia" w:ascii="仿宋" w:hAnsi="仿宋" w:eastAsia="仿宋" w:cs="仿宋"/>
              <w:kern w:val="2"/>
              <w:szCs w:val="32"/>
              <w:lang w:val="en-US" w:eastAsia="zh-CN" w:bidi="ar-SA"/>
            </w:rPr>
            <w:t>10.</w:t>
          </w:r>
          <w:r>
            <w:rPr>
              <w:rFonts w:hint="eastAsia" w:ascii="仿宋" w:hAnsi="仿宋" w:eastAsia="仿宋" w:cs="仿宋"/>
              <w:szCs w:val="32"/>
              <w:highlight w:val="none"/>
            </w:rPr>
            <w:t>联系方式</w:t>
          </w:r>
          <w:r>
            <w:tab/>
          </w:r>
          <w:r>
            <w:fldChar w:fldCharType="begin"/>
          </w:r>
          <w:r>
            <w:instrText xml:space="preserve"> PAGEREF _Toc22412 \h </w:instrText>
          </w:r>
          <w:r>
            <w:fldChar w:fldCharType="separate"/>
          </w:r>
          <w:r>
            <w:t>5</w:t>
          </w:r>
          <w:r>
            <w:fldChar w:fldCharType="end"/>
          </w:r>
          <w:r>
            <w:fldChar w:fldCharType="end"/>
          </w:r>
        </w:p>
        <w:p w14:paraId="473D1AF7">
          <w:pPr>
            <w:pStyle w:val="17"/>
            <w:tabs>
              <w:tab w:val="right" w:leader="dot" w:pos="8306"/>
            </w:tabs>
          </w:pPr>
          <w:r>
            <w:fldChar w:fldCharType="begin"/>
          </w:r>
          <w:r>
            <w:instrText xml:space="preserve"> HYPERLINK \l _Toc15567 </w:instrText>
          </w:r>
          <w:r>
            <w:fldChar w:fldCharType="separate"/>
          </w:r>
          <w:r>
            <w:rPr>
              <w:rFonts w:hint="eastAsia" w:ascii="仿宋" w:hAnsi="仿宋" w:eastAsia="仿宋" w:cs="仿宋"/>
              <w:highlight w:val="none"/>
            </w:rPr>
            <w:t>第二</w:t>
          </w:r>
          <w:r>
            <w:rPr>
              <w:rFonts w:hint="eastAsia" w:ascii="仿宋" w:hAnsi="仿宋" w:eastAsia="仿宋" w:cs="仿宋"/>
              <w:highlight w:val="none"/>
              <w:lang w:val="en-US" w:eastAsia="zh-CN"/>
            </w:rPr>
            <w:t>章</w:t>
          </w:r>
          <w:r>
            <w:rPr>
              <w:rFonts w:hint="eastAsia" w:ascii="仿宋" w:hAnsi="仿宋" w:eastAsia="仿宋" w:cs="仿宋"/>
              <w:highlight w:val="none"/>
            </w:rPr>
            <w:t xml:space="preserve">  </w:t>
          </w:r>
          <w:r>
            <w:rPr>
              <w:rFonts w:hint="eastAsia" w:ascii="仿宋" w:hAnsi="仿宋" w:eastAsia="仿宋" w:cs="仿宋"/>
              <w:highlight w:val="none"/>
              <w:lang w:val="en-US" w:eastAsia="zh-CN"/>
            </w:rPr>
            <w:t>供应商</w:t>
          </w:r>
          <w:r>
            <w:rPr>
              <w:rFonts w:hint="eastAsia" w:ascii="仿宋" w:hAnsi="仿宋" w:eastAsia="仿宋" w:cs="仿宋"/>
              <w:highlight w:val="none"/>
            </w:rPr>
            <w:t>须知</w:t>
          </w:r>
          <w:r>
            <w:tab/>
          </w:r>
          <w:r>
            <w:fldChar w:fldCharType="begin"/>
          </w:r>
          <w:r>
            <w:instrText xml:space="preserve"> PAGEREF _Toc15567 \h </w:instrText>
          </w:r>
          <w:r>
            <w:fldChar w:fldCharType="separate"/>
          </w:r>
          <w:r>
            <w:t>6</w:t>
          </w:r>
          <w:r>
            <w:fldChar w:fldCharType="end"/>
          </w:r>
          <w:r>
            <w:fldChar w:fldCharType="end"/>
          </w:r>
        </w:p>
        <w:p w14:paraId="328F6AA4">
          <w:pPr>
            <w:pStyle w:val="18"/>
            <w:tabs>
              <w:tab w:val="right" w:leader="dot" w:pos="8306"/>
            </w:tabs>
          </w:pPr>
          <w:r>
            <w:fldChar w:fldCharType="begin"/>
          </w:r>
          <w:r>
            <w:instrText xml:space="preserve"> HYPERLINK \l _Toc14038 </w:instrText>
          </w:r>
          <w:r>
            <w:fldChar w:fldCharType="separate"/>
          </w:r>
          <w:r>
            <w:rPr>
              <w:rFonts w:hint="eastAsia" w:ascii="仿宋" w:hAnsi="仿宋" w:eastAsia="仿宋" w:cs="仿宋"/>
              <w:highlight w:val="none"/>
              <w:lang w:val="en-US" w:eastAsia="zh-CN"/>
            </w:rPr>
            <w:t>1.</w:t>
          </w:r>
          <w:r>
            <w:rPr>
              <w:rFonts w:hint="eastAsia" w:ascii="仿宋" w:hAnsi="仿宋" w:eastAsia="仿宋" w:cs="仿宋"/>
              <w:highlight w:val="none"/>
              <w:lang w:eastAsia="zh-CN"/>
            </w:rPr>
            <w:t>采购</w:t>
          </w:r>
          <w:r>
            <w:rPr>
              <w:rFonts w:hint="eastAsia" w:ascii="仿宋" w:hAnsi="仿宋" w:eastAsia="仿宋" w:cs="仿宋"/>
              <w:highlight w:val="none"/>
            </w:rPr>
            <w:t>项目概况</w:t>
          </w:r>
          <w:r>
            <w:tab/>
          </w:r>
          <w:r>
            <w:fldChar w:fldCharType="begin"/>
          </w:r>
          <w:r>
            <w:instrText xml:space="preserve"> PAGEREF _Toc14038 \h </w:instrText>
          </w:r>
          <w:r>
            <w:fldChar w:fldCharType="separate"/>
          </w:r>
          <w:r>
            <w:t>6</w:t>
          </w:r>
          <w:r>
            <w:fldChar w:fldCharType="end"/>
          </w:r>
          <w:r>
            <w:fldChar w:fldCharType="end"/>
          </w:r>
        </w:p>
        <w:p w14:paraId="390C9382">
          <w:pPr>
            <w:pStyle w:val="18"/>
            <w:tabs>
              <w:tab w:val="right" w:leader="dot" w:pos="8306"/>
            </w:tabs>
          </w:pPr>
          <w:r>
            <w:fldChar w:fldCharType="begin"/>
          </w:r>
          <w:r>
            <w:instrText xml:space="preserve"> HYPERLINK \l _Toc4925 </w:instrText>
          </w:r>
          <w:r>
            <w:fldChar w:fldCharType="separate"/>
          </w:r>
          <w:r>
            <w:rPr>
              <w:rFonts w:hint="eastAsia" w:ascii="仿宋" w:hAnsi="仿宋" w:eastAsia="仿宋" w:cs="仿宋"/>
              <w:kern w:val="2"/>
              <w:szCs w:val="24"/>
              <w:highlight w:val="none"/>
              <w:lang w:val="en-US" w:eastAsia="zh-CN" w:bidi="ar-SA"/>
            </w:rPr>
            <w:t>2.采购范围、交货期、交货地点和质量标准</w:t>
          </w:r>
          <w:r>
            <w:tab/>
          </w:r>
          <w:r>
            <w:fldChar w:fldCharType="begin"/>
          </w:r>
          <w:r>
            <w:instrText xml:space="preserve"> PAGEREF _Toc4925 \h </w:instrText>
          </w:r>
          <w:r>
            <w:fldChar w:fldCharType="separate"/>
          </w:r>
          <w:r>
            <w:t>6</w:t>
          </w:r>
          <w:r>
            <w:fldChar w:fldCharType="end"/>
          </w:r>
          <w:r>
            <w:fldChar w:fldCharType="end"/>
          </w:r>
        </w:p>
        <w:p w14:paraId="06147442">
          <w:pPr>
            <w:pStyle w:val="18"/>
            <w:tabs>
              <w:tab w:val="right" w:leader="dot" w:pos="8306"/>
            </w:tabs>
          </w:pPr>
          <w:r>
            <w:fldChar w:fldCharType="begin"/>
          </w:r>
          <w:r>
            <w:instrText xml:space="preserve"> HYPERLINK \l _Toc1730 </w:instrText>
          </w:r>
          <w:r>
            <w:fldChar w:fldCharType="separate"/>
          </w:r>
          <w:r>
            <w:rPr>
              <w:rFonts w:hint="eastAsia" w:ascii="仿宋" w:hAnsi="仿宋" w:eastAsia="仿宋" w:cs="仿宋"/>
              <w:highlight w:val="none"/>
              <w:lang w:val="en-US" w:eastAsia="zh-CN"/>
            </w:rPr>
            <w:t>3.供应商资格要求</w:t>
          </w:r>
          <w:r>
            <w:tab/>
          </w:r>
          <w:r>
            <w:fldChar w:fldCharType="begin"/>
          </w:r>
          <w:r>
            <w:instrText xml:space="preserve"> PAGEREF _Toc1730 \h </w:instrText>
          </w:r>
          <w:r>
            <w:fldChar w:fldCharType="separate"/>
          </w:r>
          <w:r>
            <w:t>8</w:t>
          </w:r>
          <w:r>
            <w:fldChar w:fldCharType="end"/>
          </w:r>
          <w:r>
            <w:fldChar w:fldCharType="end"/>
          </w:r>
        </w:p>
        <w:p w14:paraId="2FE6E558">
          <w:pPr>
            <w:pStyle w:val="18"/>
            <w:tabs>
              <w:tab w:val="right" w:leader="dot" w:pos="8306"/>
            </w:tabs>
          </w:pPr>
          <w:r>
            <w:fldChar w:fldCharType="begin"/>
          </w:r>
          <w:r>
            <w:instrText xml:space="preserve"> HYPERLINK \l _Toc6514 </w:instrText>
          </w:r>
          <w:r>
            <w:fldChar w:fldCharType="separate"/>
          </w:r>
          <w:r>
            <w:rPr>
              <w:rFonts w:hint="eastAsia" w:ascii="仿宋" w:hAnsi="仿宋" w:eastAsia="仿宋" w:cs="仿宋"/>
              <w:highlight w:val="none"/>
              <w:lang w:val="en-US" w:eastAsia="zh-CN"/>
            </w:rPr>
            <w:t>4.供应商不得存在的情形</w:t>
          </w:r>
          <w:r>
            <w:tab/>
          </w:r>
          <w:r>
            <w:fldChar w:fldCharType="begin"/>
          </w:r>
          <w:r>
            <w:instrText xml:space="preserve"> PAGEREF _Toc6514 \h </w:instrText>
          </w:r>
          <w:r>
            <w:fldChar w:fldCharType="separate"/>
          </w:r>
          <w:r>
            <w:t>9</w:t>
          </w:r>
          <w:r>
            <w:fldChar w:fldCharType="end"/>
          </w:r>
          <w:r>
            <w:fldChar w:fldCharType="end"/>
          </w:r>
        </w:p>
        <w:p w14:paraId="115591D4">
          <w:pPr>
            <w:pStyle w:val="18"/>
            <w:tabs>
              <w:tab w:val="right" w:leader="dot" w:pos="8306"/>
            </w:tabs>
          </w:pPr>
          <w:r>
            <w:fldChar w:fldCharType="begin"/>
          </w:r>
          <w:r>
            <w:instrText xml:space="preserve"> HYPERLINK \l _Toc17239 </w:instrText>
          </w:r>
          <w:r>
            <w:fldChar w:fldCharType="separate"/>
          </w:r>
          <w:r>
            <w:rPr>
              <w:rFonts w:hint="eastAsia" w:ascii="仿宋" w:hAnsi="仿宋" w:eastAsia="仿宋" w:cs="仿宋"/>
              <w:kern w:val="0"/>
              <w:szCs w:val="20"/>
              <w:highlight w:val="none"/>
              <w:lang w:val="en-US" w:eastAsia="zh-CN" w:bidi="ar-SA"/>
            </w:rPr>
            <w:t>5.合同价款</w:t>
          </w:r>
          <w:r>
            <w:tab/>
          </w:r>
          <w:r>
            <w:fldChar w:fldCharType="begin"/>
          </w:r>
          <w:r>
            <w:instrText xml:space="preserve"> PAGEREF _Toc17239 \h </w:instrText>
          </w:r>
          <w:r>
            <w:fldChar w:fldCharType="separate"/>
          </w:r>
          <w:r>
            <w:t>9</w:t>
          </w:r>
          <w:r>
            <w:fldChar w:fldCharType="end"/>
          </w:r>
          <w:r>
            <w:fldChar w:fldCharType="end"/>
          </w:r>
        </w:p>
        <w:p w14:paraId="3BE0DED2">
          <w:pPr>
            <w:pStyle w:val="18"/>
            <w:tabs>
              <w:tab w:val="right" w:leader="dot" w:pos="8306"/>
            </w:tabs>
          </w:pPr>
          <w:r>
            <w:fldChar w:fldCharType="begin"/>
          </w:r>
          <w:r>
            <w:instrText xml:space="preserve"> HYPERLINK \l _Toc25275 </w:instrText>
          </w:r>
          <w:r>
            <w:fldChar w:fldCharType="separate"/>
          </w:r>
          <w:r>
            <w:rPr>
              <w:rFonts w:hint="eastAsia" w:ascii="仿宋" w:hAnsi="仿宋" w:eastAsia="仿宋" w:cs="仿宋"/>
              <w:highlight w:val="none"/>
              <w:lang w:val="en-US" w:eastAsia="zh-CN"/>
            </w:rPr>
            <w:t>6.其他需说明的事项</w:t>
          </w:r>
          <w:r>
            <w:tab/>
          </w:r>
          <w:r>
            <w:fldChar w:fldCharType="begin"/>
          </w:r>
          <w:r>
            <w:instrText xml:space="preserve"> PAGEREF _Toc25275 \h </w:instrText>
          </w:r>
          <w:r>
            <w:fldChar w:fldCharType="separate"/>
          </w:r>
          <w:r>
            <w:t>11</w:t>
          </w:r>
          <w:r>
            <w:fldChar w:fldCharType="end"/>
          </w:r>
          <w:r>
            <w:fldChar w:fldCharType="end"/>
          </w:r>
        </w:p>
        <w:p w14:paraId="36B986F3">
          <w:pPr>
            <w:pStyle w:val="17"/>
            <w:tabs>
              <w:tab w:val="right" w:leader="dot" w:pos="8306"/>
            </w:tabs>
          </w:pPr>
          <w:r>
            <w:fldChar w:fldCharType="begin"/>
          </w:r>
          <w:r>
            <w:instrText xml:space="preserve"> HYPERLINK \l _Toc9346 </w:instrText>
          </w:r>
          <w:r>
            <w:fldChar w:fldCharType="separate"/>
          </w:r>
          <w:r>
            <w:rPr>
              <w:rFonts w:hint="eastAsia" w:ascii="仿宋" w:hAnsi="仿宋" w:eastAsia="仿宋" w:cs="仿宋"/>
              <w:highlight w:val="none"/>
              <w:lang w:val="en-US" w:eastAsia="zh-CN"/>
            </w:rPr>
            <w:t>第三章 评审办法</w:t>
          </w:r>
          <w:r>
            <w:tab/>
          </w:r>
          <w:r>
            <w:fldChar w:fldCharType="begin"/>
          </w:r>
          <w:r>
            <w:instrText xml:space="preserve"> PAGEREF _Toc9346 \h </w:instrText>
          </w:r>
          <w:r>
            <w:fldChar w:fldCharType="separate"/>
          </w:r>
          <w:r>
            <w:t>12</w:t>
          </w:r>
          <w:r>
            <w:fldChar w:fldCharType="end"/>
          </w:r>
          <w:r>
            <w:fldChar w:fldCharType="end"/>
          </w:r>
        </w:p>
        <w:p w14:paraId="3F548393">
          <w:pPr>
            <w:pStyle w:val="18"/>
            <w:tabs>
              <w:tab w:val="right" w:leader="dot" w:pos="8306"/>
            </w:tabs>
          </w:pPr>
          <w:r>
            <w:fldChar w:fldCharType="begin"/>
          </w:r>
          <w:r>
            <w:instrText xml:space="preserve"> HYPERLINK \l _Toc22978 </w:instrText>
          </w:r>
          <w:r>
            <w:fldChar w:fldCharType="separate"/>
          </w:r>
          <w:r>
            <w:rPr>
              <w:rFonts w:hint="eastAsia" w:ascii="仿宋" w:hAnsi="仿宋" w:eastAsia="仿宋" w:cs="仿宋"/>
              <w:highlight w:val="none"/>
            </w:rPr>
            <w:t>1.评</w:t>
          </w:r>
          <w:r>
            <w:rPr>
              <w:rFonts w:hint="eastAsia" w:ascii="仿宋" w:hAnsi="仿宋" w:eastAsia="仿宋" w:cs="仿宋"/>
              <w:highlight w:val="none"/>
              <w:lang w:val="en-US" w:eastAsia="zh-CN"/>
            </w:rPr>
            <w:t>审</w:t>
          </w:r>
          <w:r>
            <w:rPr>
              <w:rFonts w:hint="eastAsia" w:ascii="仿宋" w:hAnsi="仿宋" w:eastAsia="仿宋" w:cs="仿宋"/>
              <w:highlight w:val="none"/>
            </w:rPr>
            <w:t>办法</w:t>
          </w:r>
          <w:r>
            <w:tab/>
          </w:r>
          <w:r>
            <w:fldChar w:fldCharType="begin"/>
          </w:r>
          <w:r>
            <w:instrText xml:space="preserve"> PAGEREF _Toc22978 \h </w:instrText>
          </w:r>
          <w:r>
            <w:fldChar w:fldCharType="separate"/>
          </w:r>
          <w:r>
            <w:t>12</w:t>
          </w:r>
          <w:r>
            <w:fldChar w:fldCharType="end"/>
          </w:r>
          <w:r>
            <w:fldChar w:fldCharType="end"/>
          </w:r>
        </w:p>
        <w:p w14:paraId="042217ED">
          <w:pPr>
            <w:pStyle w:val="18"/>
            <w:tabs>
              <w:tab w:val="right" w:leader="dot" w:pos="8306"/>
            </w:tabs>
          </w:pPr>
          <w:r>
            <w:fldChar w:fldCharType="begin"/>
          </w:r>
          <w:r>
            <w:instrText xml:space="preserve"> HYPERLINK \l _Toc31478 </w:instrText>
          </w:r>
          <w:r>
            <w:fldChar w:fldCharType="separate"/>
          </w:r>
          <w:r>
            <w:rPr>
              <w:rFonts w:hint="eastAsia" w:ascii="仿宋" w:hAnsi="仿宋" w:eastAsia="仿宋" w:cs="仿宋"/>
              <w:highlight w:val="none"/>
            </w:rPr>
            <w:t>2.</w:t>
          </w:r>
          <w:r>
            <w:rPr>
              <w:rFonts w:hint="eastAsia" w:ascii="仿宋" w:hAnsi="仿宋" w:eastAsia="仿宋" w:cs="仿宋"/>
              <w:highlight w:val="none"/>
              <w:lang w:val="en-US" w:eastAsia="zh-CN"/>
            </w:rPr>
            <w:t>初步评审</w:t>
          </w:r>
          <w:r>
            <w:tab/>
          </w:r>
          <w:r>
            <w:fldChar w:fldCharType="begin"/>
          </w:r>
          <w:r>
            <w:instrText xml:space="preserve"> PAGEREF _Toc31478 \h </w:instrText>
          </w:r>
          <w:r>
            <w:fldChar w:fldCharType="separate"/>
          </w:r>
          <w:r>
            <w:t>12</w:t>
          </w:r>
          <w:r>
            <w:fldChar w:fldCharType="end"/>
          </w:r>
          <w:r>
            <w:fldChar w:fldCharType="end"/>
          </w:r>
        </w:p>
        <w:p w14:paraId="19406812">
          <w:pPr>
            <w:pStyle w:val="18"/>
            <w:tabs>
              <w:tab w:val="right" w:leader="dot" w:pos="8306"/>
            </w:tabs>
          </w:pPr>
          <w:r>
            <w:fldChar w:fldCharType="begin"/>
          </w:r>
          <w:r>
            <w:instrText xml:space="preserve"> HYPERLINK \l _Toc627 </w:instrText>
          </w:r>
          <w:r>
            <w:fldChar w:fldCharType="separate"/>
          </w:r>
          <w:r>
            <w:rPr>
              <w:rFonts w:hint="eastAsia" w:ascii="仿宋" w:hAnsi="仿宋" w:eastAsia="仿宋" w:cs="仿宋"/>
              <w:highlight w:val="none"/>
            </w:rPr>
            <w:t>3.</w:t>
          </w:r>
          <w:r>
            <w:rPr>
              <w:rFonts w:hint="eastAsia" w:ascii="仿宋" w:hAnsi="仿宋" w:eastAsia="仿宋" w:cs="仿宋"/>
              <w:highlight w:val="none"/>
              <w:lang w:val="en-US" w:eastAsia="zh-CN"/>
            </w:rPr>
            <w:t>价格</w:t>
          </w:r>
          <w:r>
            <w:rPr>
              <w:rFonts w:hint="eastAsia" w:ascii="仿宋" w:hAnsi="仿宋" w:eastAsia="仿宋" w:cs="仿宋"/>
              <w:highlight w:val="none"/>
            </w:rPr>
            <w:t>评审</w:t>
          </w:r>
          <w:r>
            <w:tab/>
          </w:r>
          <w:r>
            <w:fldChar w:fldCharType="begin"/>
          </w:r>
          <w:r>
            <w:instrText xml:space="preserve"> PAGEREF _Toc627 \h </w:instrText>
          </w:r>
          <w:r>
            <w:fldChar w:fldCharType="separate"/>
          </w:r>
          <w:r>
            <w:t>13</w:t>
          </w:r>
          <w:r>
            <w:fldChar w:fldCharType="end"/>
          </w:r>
          <w:r>
            <w:fldChar w:fldCharType="end"/>
          </w:r>
        </w:p>
        <w:p w14:paraId="07EEE6E6">
          <w:pPr>
            <w:pStyle w:val="18"/>
            <w:tabs>
              <w:tab w:val="right" w:leader="dot" w:pos="8306"/>
            </w:tabs>
          </w:pPr>
          <w:r>
            <w:fldChar w:fldCharType="begin"/>
          </w:r>
          <w:r>
            <w:instrText xml:space="preserve"> HYPERLINK \l _Toc24803 </w:instrText>
          </w:r>
          <w:r>
            <w:fldChar w:fldCharType="separate"/>
          </w:r>
          <w:r>
            <w:rPr>
              <w:rFonts w:hint="eastAsia" w:ascii="仿宋" w:hAnsi="仿宋" w:eastAsia="仿宋" w:cs="仿宋"/>
              <w:highlight w:val="none"/>
              <w:lang w:val="en-US" w:eastAsia="zh-CN"/>
            </w:rPr>
            <w:t>4.评审</w:t>
          </w:r>
          <w:r>
            <w:rPr>
              <w:rFonts w:hint="eastAsia" w:ascii="仿宋" w:hAnsi="仿宋" w:eastAsia="仿宋" w:cs="仿宋"/>
              <w:highlight w:val="none"/>
            </w:rPr>
            <w:t>结果</w:t>
          </w:r>
          <w:r>
            <w:tab/>
          </w:r>
          <w:r>
            <w:fldChar w:fldCharType="begin"/>
          </w:r>
          <w:r>
            <w:instrText xml:space="preserve"> PAGEREF _Toc24803 \h </w:instrText>
          </w:r>
          <w:r>
            <w:fldChar w:fldCharType="separate"/>
          </w:r>
          <w:r>
            <w:t>13</w:t>
          </w:r>
          <w:r>
            <w:fldChar w:fldCharType="end"/>
          </w:r>
          <w:r>
            <w:fldChar w:fldCharType="end"/>
          </w:r>
        </w:p>
        <w:p w14:paraId="4EAC0852">
          <w:pPr>
            <w:pStyle w:val="17"/>
            <w:tabs>
              <w:tab w:val="right" w:leader="dot" w:pos="8306"/>
            </w:tabs>
          </w:pPr>
          <w:r>
            <w:fldChar w:fldCharType="begin"/>
          </w:r>
          <w:r>
            <w:instrText xml:space="preserve"> HYPERLINK \l _Toc1097 </w:instrText>
          </w:r>
          <w:r>
            <w:fldChar w:fldCharType="separate"/>
          </w:r>
          <w:r>
            <w:rPr>
              <w:rFonts w:hint="eastAsia" w:ascii="仿宋" w:hAnsi="仿宋" w:eastAsia="仿宋" w:cs="仿宋"/>
              <w:highlight w:val="none"/>
            </w:rPr>
            <w:t>第</w:t>
          </w:r>
          <w:r>
            <w:rPr>
              <w:rFonts w:hint="eastAsia" w:ascii="仿宋" w:hAnsi="仿宋" w:eastAsia="仿宋" w:cs="仿宋"/>
              <w:highlight w:val="none"/>
              <w:lang w:val="en-US" w:eastAsia="zh-CN"/>
            </w:rPr>
            <w:t>四</w:t>
          </w:r>
          <w:r>
            <w:rPr>
              <w:rFonts w:hint="eastAsia" w:ascii="仿宋" w:hAnsi="仿宋" w:eastAsia="仿宋" w:cs="仿宋"/>
              <w:highlight w:val="none"/>
            </w:rPr>
            <w:t>章</w:t>
          </w:r>
          <w:r>
            <w:rPr>
              <w:rFonts w:hint="eastAsia" w:ascii="仿宋" w:hAnsi="仿宋" w:eastAsia="仿宋" w:cs="仿宋"/>
              <w:highlight w:val="none"/>
              <w:lang w:val="en-US" w:eastAsia="zh-CN"/>
            </w:rPr>
            <w:t xml:space="preserve"> 响应</w:t>
          </w:r>
          <w:r>
            <w:rPr>
              <w:rFonts w:hint="eastAsia" w:ascii="仿宋" w:hAnsi="仿宋" w:eastAsia="仿宋" w:cs="仿宋"/>
              <w:highlight w:val="none"/>
            </w:rPr>
            <w:t>文件格式</w:t>
          </w:r>
          <w:r>
            <w:tab/>
          </w:r>
          <w:r>
            <w:fldChar w:fldCharType="begin"/>
          </w:r>
          <w:r>
            <w:instrText xml:space="preserve"> PAGEREF _Toc1097 \h </w:instrText>
          </w:r>
          <w:r>
            <w:fldChar w:fldCharType="separate"/>
          </w:r>
          <w:r>
            <w:t>14</w:t>
          </w:r>
          <w:r>
            <w:fldChar w:fldCharType="end"/>
          </w:r>
          <w:r>
            <w:fldChar w:fldCharType="end"/>
          </w:r>
        </w:p>
        <w:p w14:paraId="43A7C855">
          <w:pPr>
            <w:pStyle w:val="18"/>
            <w:tabs>
              <w:tab w:val="right" w:leader="dot" w:pos="8306"/>
            </w:tabs>
          </w:pPr>
          <w:r>
            <w:fldChar w:fldCharType="begin"/>
          </w:r>
          <w:r>
            <w:instrText xml:space="preserve"> HYPERLINK \l _Toc17828 </w:instrText>
          </w:r>
          <w:r>
            <w:fldChar w:fldCharType="separate"/>
          </w:r>
          <w:r>
            <w:rPr>
              <w:rFonts w:hint="eastAsia" w:ascii="仿宋" w:hAnsi="仿宋" w:eastAsia="仿宋" w:cs="仿宋"/>
              <w:szCs w:val="36"/>
              <w:highlight w:val="none"/>
            </w:rPr>
            <w:t>报  价  函</w:t>
          </w:r>
          <w:r>
            <w:tab/>
          </w:r>
          <w:r>
            <w:fldChar w:fldCharType="begin"/>
          </w:r>
          <w:r>
            <w:instrText xml:space="preserve"> PAGEREF _Toc17828 \h </w:instrText>
          </w:r>
          <w:r>
            <w:fldChar w:fldCharType="separate"/>
          </w:r>
          <w:r>
            <w:t>15</w:t>
          </w:r>
          <w:r>
            <w:fldChar w:fldCharType="end"/>
          </w:r>
          <w:r>
            <w:fldChar w:fldCharType="end"/>
          </w:r>
        </w:p>
        <w:p w14:paraId="4DB2C2DD">
          <w:pPr>
            <w:pStyle w:val="18"/>
            <w:tabs>
              <w:tab w:val="right" w:leader="dot" w:pos="8306"/>
            </w:tabs>
          </w:pPr>
          <w:r>
            <w:fldChar w:fldCharType="begin"/>
          </w:r>
          <w:r>
            <w:instrText xml:space="preserve"> HYPERLINK \l _Toc2011 </w:instrText>
          </w:r>
          <w:r>
            <w:fldChar w:fldCharType="separate"/>
          </w:r>
          <w:r>
            <w:rPr>
              <w:rFonts w:hint="eastAsia" w:ascii="仿宋" w:hAnsi="仿宋" w:eastAsia="仿宋" w:cs="仿宋"/>
              <w:szCs w:val="36"/>
              <w:highlight w:val="none"/>
            </w:rPr>
            <w:t>资格审查资料</w:t>
          </w:r>
          <w:r>
            <w:tab/>
          </w:r>
          <w:r>
            <w:fldChar w:fldCharType="begin"/>
          </w:r>
          <w:r>
            <w:instrText xml:space="preserve"> PAGEREF _Toc2011 \h </w:instrText>
          </w:r>
          <w:r>
            <w:fldChar w:fldCharType="separate"/>
          </w:r>
          <w:r>
            <w:t>16</w:t>
          </w:r>
          <w:r>
            <w:fldChar w:fldCharType="end"/>
          </w:r>
          <w:r>
            <w:fldChar w:fldCharType="end"/>
          </w:r>
        </w:p>
        <w:p w14:paraId="11ABD83A">
          <w:pPr>
            <w:pStyle w:val="18"/>
            <w:tabs>
              <w:tab w:val="right" w:leader="dot" w:pos="8306"/>
            </w:tabs>
          </w:pPr>
          <w:r>
            <w:fldChar w:fldCharType="begin"/>
          </w:r>
          <w:r>
            <w:instrText xml:space="preserve"> HYPERLINK \l _Toc21392 </w:instrText>
          </w:r>
          <w:r>
            <w:fldChar w:fldCharType="separate"/>
          </w:r>
          <w:r>
            <w:rPr>
              <w:rFonts w:hint="eastAsia" w:ascii="仿宋" w:hAnsi="仿宋" w:eastAsia="仿宋" w:cs="仿宋"/>
              <w:bCs/>
              <w:szCs w:val="30"/>
              <w:highlight w:val="none"/>
            </w:rPr>
            <w:t>授权委托书（适用于有委托代理人的情况）</w:t>
          </w:r>
          <w:r>
            <w:tab/>
          </w:r>
          <w:r>
            <w:fldChar w:fldCharType="begin"/>
          </w:r>
          <w:r>
            <w:instrText xml:space="preserve"> PAGEREF _Toc21392 \h </w:instrText>
          </w:r>
          <w:r>
            <w:fldChar w:fldCharType="separate"/>
          </w:r>
          <w:r>
            <w:t>19</w:t>
          </w:r>
          <w:r>
            <w:fldChar w:fldCharType="end"/>
          </w:r>
          <w:r>
            <w:fldChar w:fldCharType="end"/>
          </w:r>
        </w:p>
        <w:p w14:paraId="1E02EDC3">
          <w:pPr>
            <w:pStyle w:val="18"/>
            <w:tabs>
              <w:tab w:val="right" w:leader="dot" w:pos="8306"/>
            </w:tabs>
          </w:pPr>
          <w:r>
            <w:fldChar w:fldCharType="begin"/>
          </w:r>
          <w:r>
            <w:instrText xml:space="preserve"> HYPERLINK \l _Toc2516 </w:instrText>
          </w:r>
          <w:r>
            <w:fldChar w:fldCharType="separate"/>
          </w:r>
          <w:r>
            <w:rPr>
              <w:rFonts w:hint="eastAsia" w:ascii="仿宋" w:hAnsi="仿宋" w:eastAsia="仿宋" w:cs="仿宋"/>
              <w:bCs w:val="0"/>
              <w:szCs w:val="30"/>
              <w:highlight w:val="none"/>
            </w:rPr>
            <w:t>信誉承诺表</w:t>
          </w:r>
          <w:r>
            <w:tab/>
          </w:r>
          <w:r>
            <w:fldChar w:fldCharType="begin"/>
          </w:r>
          <w:r>
            <w:instrText xml:space="preserve"> PAGEREF _Toc2516 \h </w:instrText>
          </w:r>
          <w:r>
            <w:fldChar w:fldCharType="separate"/>
          </w:r>
          <w:r>
            <w:t>20</w:t>
          </w:r>
          <w:r>
            <w:fldChar w:fldCharType="end"/>
          </w:r>
          <w:r>
            <w:fldChar w:fldCharType="end"/>
          </w:r>
        </w:p>
        <w:p w14:paraId="14E6B3CB">
          <w:r>
            <w:fldChar w:fldCharType="end"/>
          </w:r>
        </w:p>
      </w:sdtContent>
    </w:sdt>
    <w:p w14:paraId="626F7CB5"/>
    <w:p w14:paraId="00AD2795"/>
    <w:p w14:paraId="43C38B17">
      <w:pPr>
        <w:pStyle w:val="11"/>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2"/>
        <w:numPr>
          <w:ilvl w:val="0"/>
          <w:numId w:val="0"/>
        </w:numPr>
        <w:spacing w:before="200" w:after="200" w:line="560" w:lineRule="exact"/>
        <w:jc w:val="center"/>
        <w:rPr>
          <w:rFonts w:hint="eastAsia" w:ascii="仿宋" w:hAnsi="仿宋" w:eastAsia="仿宋" w:cs="仿宋"/>
          <w:color w:val="auto"/>
          <w:highlight w:val="none"/>
        </w:rPr>
      </w:pPr>
      <w:bookmarkStart w:id="0" w:name="_Toc1558"/>
      <w:bookmarkStart w:id="1" w:name="_Toc18604"/>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bookmarkEnd w:id="1"/>
    </w:p>
    <w:p w14:paraId="471648DA">
      <w:pPr>
        <w:spacing w:line="560" w:lineRule="exact"/>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赣州景区建设运营有限公司调料类产品2026-2027年度框架协议供应商入围征集项目征集公告</w:t>
      </w:r>
    </w:p>
    <w:p w14:paraId="06EFEF1A">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 w:name="_Toc14842"/>
      <w:bookmarkStart w:id="3" w:name="_Toc8410"/>
      <w:r>
        <w:rPr>
          <w:rFonts w:hint="eastAsia" w:ascii="仿宋" w:hAnsi="仿宋" w:eastAsia="仿宋" w:cs="仿宋"/>
          <w:b/>
          <w:color w:val="auto"/>
          <w:kern w:val="2"/>
          <w:sz w:val="28"/>
          <w:szCs w:val="28"/>
          <w:lang w:val="en-US" w:eastAsia="zh-CN" w:bidi="ar-SA"/>
        </w:rPr>
        <w:t>1.</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条件</w:t>
      </w:r>
      <w:bookmarkEnd w:id="2"/>
      <w:bookmarkEnd w:id="3"/>
    </w:p>
    <w:p w14:paraId="07CF5638">
      <w:pPr>
        <w:pStyle w:val="63"/>
        <w:shd w:val="clear" w:color="auto" w:fill="FFFFFF"/>
        <w:spacing w:line="360" w:lineRule="auto"/>
        <w:ind w:left="0" w:leftChars="0" w:firstLine="480" w:firstLineChars="200"/>
        <w:jc w:val="left"/>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rPr>
        <w:t>本次采购项目</w:t>
      </w:r>
      <w:r>
        <w:rPr>
          <w:rStyle w:val="62"/>
          <w:rFonts w:hint="eastAsia" w:ascii="仿宋" w:hAnsi="仿宋" w:eastAsia="仿宋" w:cs="仿宋"/>
          <w:color w:val="auto"/>
          <w:sz w:val="24"/>
          <w:highlight w:val="none"/>
          <w:u w:val="single"/>
          <w:lang w:val="en-US"/>
        </w:rPr>
        <w:t>赣州景区建设运营有限公司调料类产品2026-2027年度框架协议供应商入围征集项目</w:t>
      </w:r>
      <w:r>
        <w:rPr>
          <w:rStyle w:val="62"/>
          <w:rFonts w:hint="eastAsia" w:ascii="仿宋" w:hAnsi="仿宋" w:eastAsia="仿宋" w:cs="仿宋"/>
          <w:color w:val="auto"/>
          <w:sz w:val="24"/>
          <w:highlight w:val="none"/>
          <w:lang w:val="en-US"/>
        </w:rPr>
        <w:t>，采购人为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，合同签订单位为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，项目资金来源为</w:t>
      </w:r>
      <w:r>
        <w:rPr>
          <w:rStyle w:val="62"/>
          <w:rFonts w:hint="eastAsia" w:ascii="仿宋" w:hAnsi="仿宋" w:eastAsia="仿宋" w:cs="仿宋"/>
          <w:color w:val="auto"/>
          <w:sz w:val="24"/>
          <w:highlight w:val="none"/>
          <w:u w:val="single"/>
          <w:lang w:val="en-US"/>
        </w:rPr>
        <w:t>企业自筹</w:t>
      </w:r>
      <w:r>
        <w:rPr>
          <w:rStyle w:val="62"/>
          <w:rFonts w:hint="eastAsia" w:ascii="仿宋" w:hAnsi="仿宋" w:eastAsia="仿宋" w:cs="仿宋"/>
          <w:color w:val="auto"/>
          <w:sz w:val="24"/>
          <w:highlight w:val="none"/>
          <w:u w:val="none"/>
          <w:lang w:val="en-US"/>
        </w:rPr>
        <w:t>，出资比例为</w:t>
      </w:r>
      <w:r>
        <w:rPr>
          <w:rStyle w:val="62"/>
          <w:rFonts w:hint="eastAsia" w:ascii="仿宋" w:hAnsi="仿宋" w:eastAsia="仿宋" w:cs="仿宋"/>
          <w:color w:val="auto"/>
          <w:sz w:val="24"/>
          <w:highlight w:val="none"/>
          <w:u w:val="single"/>
          <w:lang w:val="en-US"/>
        </w:rPr>
        <w:t>100%</w:t>
      </w:r>
      <w:r>
        <w:rPr>
          <w:rStyle w:val="62"/>
          <w:rFonts w:hint="eastAsia" w:ascii="仿宋" w:hAnsi="仿宋" w:eastAsia="仿宋" w:cs="仿宋"/>
          <w:color w:val="auto"/>
          <w:sz w:val="24"/>
          <w:highlight w:val="none"/>
          <w:u w:val="none"/>
          <w:lang w:val="en-US"/>
        </w:rPr>
        <w:t>。</w:t>
      </w:r>
      <w:r>
        <w:rPr>
          <w:rStyle w:val="62"/>
          <w:rFonts w:hint="eastAsia" w:ascii="仿宋" w:hAnsi="仿宋" w:eastAsia="仿宋" w:cs="仿宋"/>
          <w:color w:val="auto"/>
          <w:sz w:val="24"/>
          <w:highlight w:val="none"/>
          <w:lang w:val="en-US"/>
        </w:rPr>
        <w:t>项目已具备采购条件，现对该项目进行公开征集入围</w:t>
      </w:r>
      <w:r>
        <w:rPr>
          <w:rStyle w:val="62"/>
          <w:rFonts w:hint="eastAsia" w:ascii="仿宋" w:hAnsi="仿宋" w:eastAsia="仿宋" w:cs="仿宋"/>
          <w:color w:val="auto"/>
          <w:sz w:val="24"/>
          <w:highlight w:val="none"/>
          <w:lang w:val="en-US" w:eastAsia="zh-CN"/>
        </w:rPr>
        <w:t>框架协议供应商</w:t>
      </w:r>
      <w:r>
        <w:rPr>
          <w:rStyle w:val="62"/>
          <w:rFonts w:hint="eastAsia" w:ascii="仿宋" w:hAnsi="仿宋" w:eastAsia="仿宋" w:cs="仿宋"/>
          <w:color w:val="auto"/>
          <w:sz w:val="24"/>
          <w:highlight w:val="none"/>
          <w:lang w:val="en-US"/>
        </w:rPr>
        <w:t>。</w:t>
      </w:r>
    </w:p>
    <w:p w14:paraId="42CB49D7">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4" w:name="_Toc21513"/>
      <w:bookmarkStart w:id="5" w:name="_Toc5478"/>
      <w:r>
        <w:rPr>
          <w:rFonts w:hint="eastAsia" w:ascii="仿宋" w:hAnsi="仿宋" w:eastAsia="仿宋" w:cs="仿宋"/>
          <w:b/>
          <w:color w:val="auto"/>
          <w:kern w:val="2"/>
          <w:sz w:val="28"/>
          <w:szCs w:val="28"/>
          <w:lang w:val="en-US" w:eastAsia="zh-CN" w:bidi="ar-SA"/>
        </w:rPr>
        <w:t>2.</w:t>
      </w:r>
      <w:r>
        <w:rPr>
          <w:rFonts w:hint="eastAsia" w:ascii="仿宋" w:hAnsi="仿宋" w:eastAsia="仿宋" w:cs="仿宋"/>
          <w:color w:val="auto"/>
          <w:sz w:val="28"/>
          <w:szCs w:val="28"/>
          <w:highlight w:val="none"/>
        </w:rPr>
        <w:t>项目概况与</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范围</w:t>
      </w:r>
      <w:bookmarkEnd w:id="4"/>
      <w:bookmarkEnd w:id="5"/>
    </w:p>
    <w:p w14:paraId="476BDC92">
      <w:pPr>
        <w:spacing w:line="360" w:lineRule="auto"/>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项目名称：</w:t>
      </w:r>
      <w:r>
        <w:rPr>
          <w:rFonts w:hint="eastAsia" w:ascii="仿宋" w:hAnsi="仿宋" w:eastAsia="仿宋" w:cs="仿宋"/>
          <w:color w:val="auto"/>
          <w:highlight w:val="none"/>
          <w:lang w:eastAsia="zh-CN"/>
        </w:rPr>
        <w:t>赣州景区建设运营有限公司调料类产品2026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p w14:paraId="28BE85D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服务期</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服务期1年，自合同签订之日起12个日历月。</w:t>
      </w:r>
    </w:p>
    <w:p w14:paraId="38A19A58">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项目需求：</w:t>
      </w:r>
    </w:p>
    <w:tbl>
      <w:tblPr>
        <w:tblStyle w:val="23"/>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6"/>
        <w:gridCol w:w="765"/>
        <w:gridCol w:w="765"/>
        <w:gridCol w:w="1668"/>
        <w:gridCol w:w="1200"/>
        <w:gridCol w:w="913"/>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336"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项目名称</w:t>
            </w:r>
          </w:p>
        </w:tc>
        <w:tc>
          <w:tcPr>
            <w:tcW w:w="76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数量</w:t>
            </w:r>
          </w:p>
        </w:tc>
        <w:tc>
          <w:tcPr>
            <w:tcW w:w="7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单位</w:t>
            </w:r>
          </w:p>
        </w:tc>
        <w:tc>
          <w:tcPr>
            <w:tcW w:w="1668"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主要技术规格及要求</w:t>
            </w:r>
          </w:p>
        </w:tc>
        <w:tc>
          <w:tcPr>
            <w:tcW w:w="1200"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交货地点</w:t>
            </w:r>
          </w:p>
        </w:tc>
        <w:tc>
          <w:tcPr>
            <w:tcW w:w="913"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336"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赣州景区建设运营有限公司调料类产品2026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tc>
        <w:tc>
          <w:tcPr>
            <w:tcW w:w="76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7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w:t>
            </w:r>
          </w:p>
        </w:tc>
        <w:tc>
          <w:tcPr>
            <w:tcW w:w="1668"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（具体内容详见</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文件）</w:t>
            </w:r>
          </w:p>
        </w:tc>
        <w:tc>
          <w:tcPr>
            <w:tcW w:w="1200"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赣州市中心城区</w:t>
            </w:r>
          </w:p>
        </w:tc>
        <w:tc>
          <w:tcPr>
            <w:tcW w:w="913"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约40万元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734" w:type="dxa"/>
            <w:gridSpan w:val="5"/>
            <w:vAlign w:val="center"/>
          </w:tcPr>
          <w:p w14:paraId="49B43A62">
            <w:pPr>
              <w:spacing w:line="240" w:lineRule="auto"/>
              <w:ind w:firstLine="480" w:firstLineChars="200"/>
              <w:jc w:val="center"/>
              <w:rPr>
                <w:rFonts w:hint="eastAsia" w:ascii="仿宋" w:hAnsi="仿宋" w:eastAsia="仿宋" w:cs="仿宋"/>
                <w:color w:val="auto"/>
                <w:highlight w:val="none"/>
              </w:rPr>
            </w:pPr>
            <w:r>
              <w:rPr>
                <w:rFonts w:hint="eastAsia" w:ascii="仿宋" w:hAnsi="仿宋" w:eastAsia="仿宋" w:cs="仿宋"/>
                <w:color w:val="auto"/>
                <w:highlight w:val="none"/>
              </w:rPr>
              <w:t>注：本项目只允许国内</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参与。</w:t>
            </w:r>
          </w:p>
        </w:tc>
        <w:tc>
          <w:tcPr>
            <w:tcW w:w="913" w:type="dxa"/>
            <w:vAlign w:val="center"/>
          </w:tcPr>
          <w:p w14:paraId="4CE66FA2">
            <w:pPr>
              <w:spacing w:line="240" w:lineRule="auto"/>
              <w:ind w:firstLine="480" w:firstLineChars="200"/>
              <w:jc w:val="center"/>
              <w:rPr>
                <w:rFonts w:hint="eastAsia" w:ascii="仿宋" w:hAnsi="仿宋" w:eastAsia="仿宋" w:cs="仿宋"/>
                <w:color w:val="auto"/>
                <w:highlight w:val="none"/>
              </w:rPr>
            </w:pPr>
          </w:p>
        </w:tc>
      </w:tr>
    </w:tbl>
    <w:p w14:paraId="4099E1BE">
      <w:pPr>
        <w:pStyle w:val="3"/>
        <w:numPr>
          <w:ilvl w:val="1"/>
          <w:numId w:val="0"/>
        </w:numPr>
        <w:spacing w:before="0" w:after="0" w:line="560" w:lineRule="exact"/>
        <w:ind w:left="0" w:leftChars="0" w:firstLine="403" w:firstLineChars="0"/>
        <w:outlineLvl w:val="9"/>
        <w:rPr>
          <w:rStyle w:val="25"/>
          <w:rFonts w:hint="eastAsia" w:ascii="仿宋" w:hAnsi="仿宋" w:eastAsia="仿宋" w:cs="仿宋"/>
          <w:b/>
          <w:color w:val="auto"/>
          <w:sz w:val="28"/>
          <w:szCs w:val="28"/>
          <w:highlight w:val="none"/>
          <w:lang w:val="en-US"/>
        </w:rPr>
      </w:pPr>
      <w:bookmarkStart w:id="6" w:name="_Toc4036"/>
      <w:bookmarkStart w:id="7" w:name="_Toc27235"/>
      <w:r>
        <w:rPr>
          <w:rFonts w:hint="eastAsia" w:ascii="仿宋" w:hAnsi="仿宋" w:eastAsia="仿宋" w:cs="仿宋"/>
          <w:b/>
          <w:color w:val="auto"/>
          <w:kern w:val="2"/>
          <w:sz w:val="28"/>
          <w:szCs w:val="28"/>
          <w:highlight w:val="none"/>
          <w:lang w:val="en-US" w:eastAsia="zh-CN" w:bidi="ar-SA"/>
        </w:rPr>
        <w:t>3.</w:t>
      </w:r>
      <w:r>
        <w:rPr>
          <w:rFonts w:hint="eastAsia" w:ascii="仿宋" w:hAnsi="仿宋" w:eastAsia="仿宋" w:cs="仿宋"/>
          <w:b/>
          <w:color w:val="auto"/>
          <w:sz w:val="28"/>
          <w:szCs w:val="28"/>
          <w:highlight w:val="none"/>
          <w:lang w:val="en-US" w:eastAsia="zh-CN"/>
        </w:rPr>
        <w:t>供应商</w:t>
      </w:r>
      <w:r>
        <w:rPr>
          <w:rFonts w:hint="eastAsia" w:ascii="仿宋" w:hAnsi="仿宋" w:eastAsia="仿宋" w:cs="仿宋"/>
          <w:b/>
          <w:color w:val="auto"/>
          <w:sz w:val="28"/>
          <w:szCs w:val="28"/>
          <w:highlight w:val="none"/>
        </w:rPr>
        <w:t>资格要求</w:t>
      </w:r>
      <w:bookmarkEnd w:id="6"/>
      <w:bookmarkEnd w:id="7"/>
    </w:p>
    <w:p w14:paraId="4424C395">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231068B5">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2ED5B59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3CD845DD">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212D31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1535232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8B1971B">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（6）业绩要求：供应商近5年内（签订时间为2021年5月1日至投标截止时间前）独立承接过调料类产品供应项目（或供应内容中包含调料类产品的供应项目）至少提供1个合同。</w:t>
      </w:r>
    </w:p>
    <w:p w14:paraId="049ACA3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76E1D44F">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（1）单位</w:t>
      </w:r>
      <w:r>
        <w:rPr>
          <w:rFonts w:hint="eastAsia" w:ascii="仿宋" w:hAnsi="仿宋" w:eastAsia="仿宋" w:cs="仿宋"/>
          <w:color w:val="auto"/>
          <w:highlight w:val="none"/>
        </w:rPr>
        <w:t>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7720549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被“信用中国”网站列入失信被执行人和重大税收违法案件当事人名单的、被“中国政府采购网”网站列入政府采购严重违法失信行为记录名单（且在处罚期限内的）供应商，不得参与本项目的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08BCBFD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347B2F66">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8" w:name="_Toc11894"/>
      <w:bookmarkStart w:id="9" w:name="_Toc32044"/>
      <w:r>
        <w:rPr>
          <w:rFonts w:hint="eastAsia" w:ascii="仿宋" w:hAnsi="仿宋" w:eastAsia="仿宋" w:cs="仿宋"/>
          <w:b/>
          <w:color w:val="auto"/>
          <w:kern w:val="2"/>
          <w:sz w:val="28"/>
          <w:szCs w:val="28"/>
          <w:lang w:val="en-US" w:eastAsia="zh-CN" w:bidi="ar-SA"/>
        </w:rPr>
        <w:t>4.</w:t>
      </w:r>
      <w:r>
        <w:rPr>
          <w:rFonts w:hint="eastAsia" w:ascii="仿宋" w:hAnsi="仿宋" w:eastAsia="仿宋" w:cs="仿宋"/>
          <w:color w:val="auto"/>
          <w:sz w:val="28"/>
          <w:szCs w:val="28"/>
          <w:highlight w:val="none"/>
          <w:lang w:val="en-US" w:eastAsia="zh-CN"/>
        </w:rPr>
        <w:t>征集</w:t>
      </w:r>
      <w:r>
        <w:rPr>
          <w:rFonts w:hint="eastAsia" w:ascii="仿宋" w:hAnsi="仿宋" w:eastAsia="仿宋" w:cs="仿宋"/>
          <w:color w:val="auto"/>
          <w:sz w:val="28"/>
          <w:szCs w:val="28"/>
          <w:highlight w:val="none"/>
        </w:rPr>
        <w:t>文件的获取</w:t>
      </w:r>
      <w:bookmarkEnd w:id="8"/>
      <w:bookmarkEnd w:id="9"/>
    </w:p>
    <w:p w14:paraId="46E8E26D">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公告页自行下载附件</w:t>
      </w:r>
      <w:r>
        <w:rPr>
          <w:rFonts w:hint="eastAsia" w:ascii="仿宋" w:hAnsi="仿宋" w:eastAsia="仿宋" w:cs="仿宋"/>
          <w:color w:val="auto"/>
          <w:highlight w:val="none"/>
        </w:rPr>
        <w:t>。</w:t>
      </w:r>
    </w:p>
    <w:p w14:paraId="3B99C426">
      <w:pPr>
        <w:pStyle w:val="3"/>
        <w:numPr>
          <w:ilvl w:val="1"/>
          <w:numId w:val="0"/>
        </w:numPr>
        <w:bidi w:val="0"/>
        <w:spacing w:before="0" w:after="0" w:line="560" w:lineRule="exact"/>
        <w:ind w:left="0" w:leftChars="0" w:firstLine="403" w:firstLineChars="0"/>
        <w:outlineLvl w:val="9"/>
        <w:rPr>
          <w:rFonts w:hint="eastAsia" w:ascii="仿宋" w:hAnsi="仿宋" w:eastAsia="仿宋" w:cs="仿宋"/>
          <w:color w:val="auto"/>
          <w:sz w:val="28"/>
          <w:szCs w:val="28"/>
          <w:lang w:eastAsia="zh-CN"/>
        </w:rPr>
      </w:pPr>
      <w:bookmarkStart w:id="10" w:name="_Toc28364"/>
      <w:bookmarkStart w:id="11" w:name="_Toc31895"/>
      <w:r>
        <w:rPr>
          <w:rFonts w:hint="eastAsia" w:ascii="仿宋" w:hAnsi="仿宋" w:eastAsia="仿宋" w:cs="仿宋"/>
          <w:b/>
          <w:color w:val="auto"/>
          <w:kern w:val="2"/>
          <w:sz w:val="28"/>
          <w:szCs w:val="28"/>
          <w:lang w:val="en-US" w:eastAsia="zh-CN" w:bidi="ar-SA"/>
        </w:rPr>
        <w:t>5.</w:t>
      </w:r>
      <w:r>
        <w:rPr>
          <w:rFonts w:hint="eastAsia" w:ascii="仿宋" w:hAnsi="仿宋" w:eastAsia="仿宋" w:cs="仿宋"/>
          <w:color w:val="auto"/>
          <w:sz w:val="28"/>
          <w:szCs w:val="28"/>
          <w:lang w:val="en-US" w:eastAsia="zh-CN"/>
        </w:rPr>
        <w:t>响应</w:t>
      </w:r>
      <w:r>
        <w:rPr>
          <w:rFonts w:hint="eastAsia" w:ascii="仿宋" w:hAnsi="仿宋" w:eastAsia="仿宋" w:cs="仿宋"/>
          <w:color w:val="auto"/>
          <w:sz w:val="28"/>
          <w:szCs w:val="28"/>
          <w:lang w:eastAsia="zh-CN"/>
        </w:rPr>
        <w:t>保证金</w:t>
      </w:r>
      <w:bookmarkEnd w:id="10"/>
      <w:bookmarkEnd w:id="11"/>
    </w:p>
    <w:p w14:paraId="5CB7D371">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供应商应向</w:t>
      </w:r>
      <w:r>
        <w:rPr>
          <w:rStyle w:val="62"/>
          <w:rFonts w:hint="eastAsia" w:ascii="仿宋" w:hAnsi="仿宋" w:eastAsia="仿宋" w:cs="仿宋"/>
          <w:color w:val="auto"/>
          <w:sz w:val="24"/>
          <w:highlight w:val="none"/>
          <w:lang w:val="en-US" w:eastAsia="zh-CN"/>
        </w:rPr>
        <w:t>采购人交</w:t>
      </w:r>
      <w:r>
        <w:rPr>
          <w:rStyle w:val="62"/>
          <w:rFonts w:hint="eastAsia" w:ascii="仿宋" w:hAnsi="仿宋" w:eastAsia="仿宋" w:cs="仿宋"/>
          <w:color w:val="auto"/>
          <w:sz w:val="24"/>
          <w:highlight w:val="none"/>
          <w:lang w:val="en-US" w:eastAsia="zh-Hans"/>
        </w:rPr>
        <w:t>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w:t>
      </w:r>
      <w:r>
        <w:rPr>
          <w:rStyle w:val="62"/>
          <w:rFonts w:hint="eastAsia" w:ascii="仿宋" w:hAnsi="仿宋" w:eastAsia="仿宋" w:cs="仿宋"/>
          <w:color w:val="auto"/>
          <w:sz w:val="24"/>
          <w:highlight w:val="none"/>
          <w:lang w:val="en-US" w:eastAsia="zh-CN"/>
        </w:rPr>
        <w:t>人民币大写</w:t>
      </w:r>
      <w:r>
        <w:rPr>
          <w:rStyle w:val="62"/>
          <w:rFonts w:hint="eastAsia" w:ascii="仿宋" w:hAnsi="仿宋" w:eastAsia="仿宋" w:cs="仿宋"/>
          <w:color w:val="auto"/>
          <w:sz w:val="24"/>
          <w:highlight w:val="none"/>
          <w:lang w:val="en-US"/>
        </w:rPr>
        <w:t>：捌</w:t>
      </w:r>
      <w:r>
        <w:rPr>
          <w:rStyle w:val="62"/>
          <w:rFonts w:hint="eastAsia" w:ascii="仿宋" w:hAnsi="仿宋" w:eastAsia="仿宋" w:cs="仿宋"/>
          <w:color w:val="auto"/>
          <w:sz w:val="24"/>
          <w:highlight w:val="none"/>
          <w:lang w:val="en-US" w:eastAsia="zh-CN"/>
        </w:rPr>
        <w:t>仟元整（小写：8,000.00元）。</w:t>
      </w:r>
    </w:p>
    <w:p w14:paraId="2CDECA5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2.响应</w:t>
      </w:r>
      <w:r>
        <w:rPr>
          <w:rStyle w:val="62"/>
          <w:rFonts w:hint="eastAsia" w:ascii="仿宋" w:hAnsi="仿宋" w:eastAsia="仿宋" w:cs="仿宋"/>
          <w:color w:val="auto"/>
          <w:sz w:val="24"/>
          <w:highlight w:val="none"/>
          <w:lang w:val="en-US"/>
        </w:rPr>
        <w:t>保证金应当</w:t>
      </w:r>
      <w:r>
        <w:rPr>
          <w:rStyle w:val="62"/>
          <w:rFonts w:hint="eastAsia" w:ascii="仿宋" w:hAnsi="仿宋" w:eastAsia="仿宋" w:cs="仿宋"/>
          <w:color w:val="auto"/>
          <w:sz w:val="24"/>
          <w:highlight w:val="none"/>
          <w:lang w:val="en-US" w:eastAsia="zh-CN"/>
        </w:rPr>
        <w:t>采用</w:t>
      </w:r>
      <w:r>
        <w:rPr>
          <w:rStyle w:val="62"/>
          <w:rFonts w:hint="eastAsia" w:ascii="仿宋" w:hAnsi="仿宋" w:eastAsia="仿宋" w:cs="仿宋"/>
          <w:color w:val="auto"/>
          <w:sz w:val="24"/>
          <w:highlight w:val="none"/>
          <w:lang w:val="en-US"/>
        </w:rPr>
        <w:t>银行电汇、转账、网上银行非现金形式交纳。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保证金应于响应文件提交截止时</w:t>
      </w:r>
      <w:r>
        <w:rPr>
          <w:rStyle w:val="62"/>
          <w:rFonts w:hint="eastAsia" w:ascii="仿宋" w:hAnsi="仿宋" w:eastAsia="仿宋" w:cs="仿宋"/>
          <w:color w:val="auto"/>
          <w:sz w:val="24"/>
          <w:highlight w:val="none"/>
          <w:lang w:val="en-US" w:eastAsia="zh-CN"/>
        </w:rPr>
        <w:t>间</w:t>
      </w:r>
      <w:r>
        <w:rPr>
          <w:rStyle w:val="62"/>
          <w:rFonts w:hint="eastAsia" w:ascii="仿宋" w:hAnsi="仿宋" w:eastAsia="仿宋" w:cs="仿宋"/>
          <w:color w:val="auto"/>
          <w:sz w:val="24"/>
          <w:highlight w:val="none"/>
          <w:lang w:val="en-US"/>
        </w:rPr>
        <w:t>前按时从</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基本账户一次性足额转账至</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账户内，如未按要求转入，将作无效</w:t>
      </w:r>
      <w:r>
        <w:rPr>
          <w:rStyle w:val="62"/>
          <w:rFonts w:hint="eastAsia" w:ascii="仿宋" w:hAnsi="仿宋" w:eastAsia="仿宋" w:cs="仿宋"/>
          <w:color w:val="auto"/>
          <w:sz w:val="24"/>
          <w:highlight w:val="none"/>
          <w:lang w:val="en-US" w:eastAsia="zh-Hans"/>
        </w:rPr>
        <w:t>响应</w:t>
      </w:r>
      <w:r>
        <w:rPr>
          <w:rStyle w:val="62"/>
          <w:rFonts w:hint="eastAsia" w:ascii="仿宋" w:hAnsi="仿宋" w:eastAsia="仿宋" w:cs="仿宋"/>
          <w:color w:val="auto"/>
          <w:sz w:val="24"/>
          <w:highlight w:val="none"/>
          <w:lang w:val="en-US"/>
        </w:rPr>
        <w:t>处理。</w:t>
      </w:r>
    </w:p>
    <w:p w14:paraId="35DAAF5D">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0"/>
          <w:kern w:val="0"/>
          <w:sz w:val="24"/>
          <w:highlight w:val="none"/>
          <w:fitText w:val="960" w:id="1150624567"/>
          <w:lang w:val="en-US"/>
        </w:rPr>
        <w:t>收款单位</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赣州景区建设运营有限公司</w:t>
      </w:r>
      <w:r>
        <w:rPr>
          <w:rStyle w:val="62"/>
          <w:rFonts w:hint="eastAsia" w:ascii="仿宋" w:hAnsi="仿宋" w:eastAsia="仿宋" w:cs="仿宋"/>
          <w:color w:val="auto"/>
          <w:sz w:val="24"/>
          <w:highlight w:val="none"/>
          <w:lang w:val="en-US" w:eastAsia="zh-CN"/>
        </w:rPr>
        <w:t xml:space="preserve">  </w:t>
      </w:r>
      <w:r>
        <w:rPr>
          <w:rStyle w:val="62"/>
          <w:rFonts w:hint="eastAsia" w:ascii="仿宋" w:hAnsi="仿宋" w:eastAsia="仿宋" w:cs="仿宋"/>
          <w:color w:val="auto"/>
          <w:sz w:val="24"/>
          <w:highlight w:val="none"/>
          <w:lang w:val="en-US"/>
        </w:rPr>
        <w:t xml:space="preserve"> </w:t>
      </w:r>
    </w:p>
    <w:p w14:paraId="07D58706">
      <w:pPr>
        <w:spacing w:line="360" w:lineRule="auto"/>
        <w:ind w:firstLine="478" w:firstLineChars="133"/>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60"/>
          <w:kern w:val="0"/>
          <w:sz w:val="24"/>
          <w:highlight w:val="none"/>
          <w:fitText w:val="960" w:id="92811259"/>
          <w:lang w:val="en-US"/>
        </w:rPr>
        <w:t>开户</w:t>
      </w:r>
      <w:r>
        <w:rPr>
          <w:rStyle w:val="62"/>
          <w:rFonts w:hint="eastAsia" w:ascii="仿宋" w:hAnsi="仿宋" w:eastAsia="仿宋" w:cs="仿宋"/>
          <w:color w:val="auto"/>
          <w:spacing w:val="0"/>
          <w:kern w:val="0"/>
          <w:sz w:val="24"/>
          <w:highlight w:val="none"/>
          <w:fitText w:val="960" w:id="92811259"/>
          <w:lang w:val="en-US"/>
        </w:rPr>
        <w:t>行</w:t>
      </w:r>
      <w:r>
        <w:rPr>
          <w:rStyle w:val="62"/>
          <w:rFonts w:hint="eastAsia" w:ascii="仿宋" w:hAnsi="仿宋" w:eastAsia="仿宋" w:cs="仿宋"/>
          <w:color w:val="auto"/>
          <w:sz w:val="24"/>
          <w:highlight w:val="none"/>
          <w:lang w:val="en-US"/>
        </w:rPr>
        <w:t>：</w:t>
      </w:r>
      <w:r>
        <w:rPr>
          <w:rStyle w:val="62"/>
          <w:rFonts w:hint="default" w:ascii="仿宋" w:hAnsi="仿宋" w:eastAsia="仿宋" w:cs="仿宋"/>
          <w:color w:val="auto"/>
          <w:sz w:val="24"/>
          <w:highlight w:val="none"/>
          <w:lang w:val="en-US"/>
        </w:rPr>
        <w:t>九江银行赣州分行</w:t>
      </w:r>
      <w:r>
        <w:rPr>
          <w:rStyle w:val="62"/>
          <w:rFonts w:hint="eastAsia" w:ascii="仿宋" w:hAnsi="仿宋" w:eastAsia="仿宋" w:cs="仿宋"/>
          <w:color w:val="auto"/>
          <w:sz w:val="24"/>
          <w:highlight w:val="none"/>
          <w:lang w:val="en-US" w:eastAsia="zh-CN"/>
        </w:rPr>
        <w:t xml:space="preserve">   </w:t>
      </w:r>
    </w:p>
    <w:p w14:paraId="2E4FA4C8">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pacing w:val="0"/>
          <w:kern w:val="0"/>
          <w:sz w:val="24"/>
          <w:highlight w:val="none"/>
          <w:fitText w:val="960" w:id="1915621016"/>
          <w:lang w:val="en-US"/>
        </w:rPr>
        <w:t>银行账号</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2870 1940 0000 0007 25</w:t>
      </w:r>
      <w:r>
        <w:rPr>
          <w:rStyle w:val="62"/>
          <w:rFonts w:hint="eastAsia" w:ascii="仿宋" w:hAnsi="仿宋" w:eastAsia="仿宋" w:cs="仿宋"/>
          <w:color w:val="auto"/>
          <w:sz w:val="24"/>
          <w:highlight w:val="none"/>
          <w:lang w:val="en-US" w:eastAsia="zh-CN"/>
        </w:rPr>
        <w:t xml:space="preserve">      </w:t>
      </w:r>
    </w:p>
    <w:p w14:paraId="0395D1F9">
      <w:pPr>
        <w:spacing w:line="360" w:lineRule="auto"/>
        <w:ind w:firstLine="475" w:firstLineChars="66"/>
        <w:rPr>
          <w:rStyle w:val="62"/>
          <w:rFonts w:hint="eastAsia" w:ascii="仿宋" w:hAnsi="仿宋" w:eastAsia="仿宋" w:cs="仿宋"/>
          <w:b/>
          <w:bCs/>
          <w:color w:val="auto"/>
          <w:sz w:val="24"/>
          <w:highlight w:val="none"/>
          <w:lang w:val="en-US" w:eastAsia="zh-CN"/>
        </w:rPr>
      </w:pPr>
      <w:bookmarkStart w:id="12" w:name="_Toc28407"/>
      <w:bookmarkStart w:id="13" w:name="_Toc1702"/>
      <w:bookmarkStart w:id="14" w:name="_Toc20184"/>
      <w:r>
        <w:rPr>
          <w:rStyle w:val="62"/>
          <w:rFonts w:hint="eastAsia" w:ascii="仿宋" w:hAnsi="仿宋" w:eastAsia="仿宋" w:cs="仿宋"/>
          <w:color w:val="auto"/>
          <w:spacing w:val="240"/>
          <w:kern w:val="0"/>
          <w:sz w:val="24"/>
          <w:highlight w:val="none"/>
          <w:fitText w:val="960" w:id="264771371"/>
          <w:lang w:val="en-US"/>
        </w:rPr>
        <w:t>附</w:t>
      </w:r>
      <w:r>
        <w:rPr>
          <w:rStyle w:val="62"/>
          <w:rFonts w:hint="eastAsia" w:ascii="仿宋" w:hAnsi="仿宋" w:eastAsia="仿宋" w:cs="仿宋"/>
          <w:color w:val="auto"/>
          <w:spacing w:val="0"/>
          <w:kern w:val="0"/>
          <w:sz w:val="24"/>
          <w:highlight w:val="none"/>
          <w:fitText w:val="960" w:id="264771371"/>
          <w:lang w:val="en-US"/>
        </w:rPr>
        <w:t>言</w:t>
      </w:r>
      <w:r>
        <w:rPr>
          <w:rStyle w:val="62"/>
          <w:rFonts w:hint="eastAsia" w:ascii="仿宋" w:hAnsi="仿宋" w:eastAsia="仿宋" w:cs="仿宋"/>
          <w:color w:val="auto"/>
          <w:kern w:val="0"/>
          <w:sz w:val="24"/>
          <w:highlight w:val="none"/>
          <w:lang w:val="en-US"/>
        </w:rPr>
        <w:t>：</w:t>
      </w:r>
      <w:r>
        <w:rPr>
          <w:rStyle w:val="62"/>
          <w:rFonts w:hint="eastAsia" w:ascii="仿宋" w:hAnsi="仿宋" w:eastAsia="仿宋" w:cs="仿宋"/>
          <w:b/>
          <w:bCs/>
          <w:color w:val="auto"/>
          <w:sz w:val="24"/>
          <w:highlight w:val="none"/>
          <w:lang w:val="en-US" w:eastAsia="zh-CN"/>
        </w:rPr>
        <w:t>赣州景区建设运营有限公司调料类产品2026-2027年度框架协议供应商入围征集项目响应保证金</w:t>
      </w:r>
      <w:bookmarkEnd w:id="12"/>
      <w:bookmarkEnd w:id="13"/>
      <w:bookmarkEnd w:id="14"/>
    </w:p>
    <w:p w14:paraId="2128FCDC">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w:t>
      </w:r>
      <w:r>
        <w:rPr>
          <w:rStyle w:val="62"/>
          <w:rFonts w:hint="eastAsia" w:ascii="仿宋" w:hAnsi="仿宋" w:eastAsia="仿宋" w:cs="仿宋"/>
          <w:color w:val="auto"/>
          <w:sz w:val="24"/>
          <w:highlight w:val="none"/>
          <w:lang w:val="en-US"/>
        </w:rPr>
        <w:t>未中</w:t>
      </w:r>
      <w:r>
        <w:rPr>
          <w:rStyle w:val="62"/>
          <w:rFonts w:hint="eastAsia" w:ascii="仿宋" w:hAnsi="仿宋" w:eastAsia="仿宋" w:cs="仿宋"/>
          <w:color w:val="auto"/>
          <w:sz w:val="24"/>
          <w:highlight w:val="none"/>
          <w:lang w:val="en-US" w:eastAsia="zh-CN"/>
        </w:rPr>
        <w:t>选供应商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w:t>
      </w:r>
      <w:r>
        <w:rPr>
          <w:rStyle w:val="62"/>
          <w:rFonts w:hint="eastAsia" w:ascii="仿宋" w:hAnsi="仿宋" w:eastAsia="仿宋" w:cs="仿宋"/>
          <w:color w:val="auto"/>
          <w:sz w:val="24"/>
          <w:highlight w:val="none"/>
          <w:lang w:val="en-US" w:eastAsia="zh-CN"/>
        </w:rPr>
        <w:t>成交</w:t>
      </w:r>
      <w:r>
        <w:rPr>
          <w:rStyle w:val="62"/>
          <w:rFonts w:hint="eastAsia" w:ascii="仿宋" w:hAnsi="仿宋" w:eastAsia="仿宋" w:cs="仿宋"/>
          <w:color w:val="auto"/>
          <w:sz w:val="24"/>
          <w:highlight w:val="none"/>
          <w:lang w:val="en-US"/>
        </w:rPr>
        <w:t>通知书》发出</w:t>
      </w:r>
      <w:r>
        <w:rPr>
          <w:rStyle w:val="62"/>
          <w:rFonts w:hint="eastAsia" w:ascii="仿宋" w:hAnsi="仿宋" w:eastAsia="仿宋" w:cs="仿宋"/>
          <w:color w:val="auto"/>
          <w:sz w:val="24"/>
          <w:highlight w:val="none"/>
          <w:lang w:val="en-US" w:eastAsia="zh-CN"/>
        </w:rPr>
        <w:t>后14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存在</w:t>
      </w:r>
      <w:r>
        <w:rPr>
          <w:rStyle w:val="62"/>
          <w:rFonts w:hint="eastAsia" w:ascii="仿宋" w:hAnsi="仿宋" w:eastAsia="仿宋" w:cs="仿宋"/>
          <w:color w:val="auto"/>
          <w:sz w:val="24"/>
          <w:highlight w:val="none"/>
          <w:lang w:val="en-US"/>
        </w:rPr>
        <w:t>质疑或投诉时，在质疑或投诉处理完毕后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保证金，在合同签订后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p>
    <w:p w14:paraId="11F0BEE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有下列情形之一的，取消候选</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或</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资格，</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保证金不予退还：</w:t>
      </w:r>
    </w:p>
    <w:p w14:paraId="737E3F7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（1）成交供应商</w:t>
      </w:r>
      <w:r>
        <w:rPr>
          <w:rStyle w:val="62"/>
          <w:rFonts w:hint="eastAsia" w:ascii="仿宋" w:hAnsi="仿宋" w:eastAsia="仿宋" w:cs="仿宋"/>
          <w:color w:val="auto"/>
          <w:sz w:val="24"/>
          <w:highlight w:val="none"/>
          <w:lang w:val="en-US"/>
        </w:rPr>
        <w:t>无正当理由不与</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签订合同的；</w:t>
      </w:r>
    </w:p>
    <w:p w14:paraId="176E5A5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（2）成交供应商</w:t>
      </w:r>
      <w:r>
        <w:rPr>
          <w:rStyle w:val="62"/>
          <w:rFonts w:hint="eastAsia" w:ascii="仿宋" w:hAnsi="仿宋" w:eastAsia="仿宋" w:cs="仿宋"/>
          <w:color w:val="auto"/>
          <w:sz w:val="24"/>
          <w:highlight w:val="none"/>
          <w:lang w:val="en-US"/>
        </w:rPr>
        <w:t>未按规定提交履约保证金的；</w:t>
      </w:r>
    </w:p>
    <w:p w14:paraId="3DFFC74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（3）供应商</w:t>
      </w:r>
      <w:r>
        <w:rPr>
          <w:rStyle w:val="62"/>
          <w:rFonts w:hint="eastAsia" w:ascii="仿宋" w:hAnsi="仿宋" w:eastAsia="仿宋" w:cs="仿宋"/>
          <w:color w:val="auto"/>
          <w:sz w:val="24"/>
          <w:highlight w:val="none"/>
          <w:lang w:val="en-US"/>
        </w:rPr>
        <w:t>提供虚假材料</w:t>
      </w:r>
      <w:r>
        <w:rPr>
          <w:rStyle w:val="62"/>
          <w:rFonts w:hint="eastAsia" w:ascii="仿宋" w:hAnsi="仿宋" w:eastAsia="仿宋" w:cs="仿宋"/>
          <w:color w:val="auto"/>
          <w:sz w:val="24"/>
          <w:highlight w:val="none"/>
          <w:lang w:val="en-US" w:eastAsia="zh-CN"/>
        </w:rPr>
        <w:t>或</w:t>
      </w:r>
      <w:r>
        <w:rPr>
          <w:rStyle w:val="62"/>
          <w:rFonts w:hint="eastAsia" w:ascii="仿宋" w:hAnsi="仿宋" w:eastAsia="仿宋" w:cs="仿宋"/>
          <w:color w:val="auto"/>
          <w:sz w:val="24"/>
          <w:highlight w:val="none"/>
          <w:lang w:val="en-US"/>
        </w:rPr>
        <w:t>虚假陈述的；</w:t>
      </w:r>
    </w:p>
    <w:p w14:paraId="576AD5AE">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串通投标的；</w:t>
      </w:r>
    </w:p>
    <w:p w14:paraId="0C6BF606">
      <w:pPr>
        <w:spacing w:line="360" w:lineRule="auto"/>
        <w:ind w:firstLine="480" w:firstLineChars="200"/>
        <w:rPr>
          <w:rFonts w:hint="eastAsia"/>
        </w:rPr>
      </w:pPr>
      <w:r>
        <w:rPr>
          <w:rStyle w:val="62"/>
          <w:rFonts w:hint="eastAsia" w:ascii="仿宋" w:hAnsi="仿宋" w:eastAsia="仿宋" w:cs="仿宋"/>
          <w:color w:val="auto"/>
          <w:sz w:val="24"/>
          <w:highlight w:val="none"/>
          <w:lang w:val="en-US" w:eastAsia="zh-CN"/>
        </w:rPr>
        <w:t>（5）供应商</w:t>
      </w:r>
      <w:r>
        <w:rPr>
          <w:rStyle w:val="62"/>
          <w:rFonts w:hint="eastAsia" w:ascii="仿宋" w:hAnsi="仿宋" w:eastAsia="仿宋" w:cs="仿宋"/>
          <w:color w:val="auto"/>
          <w:sz w:val="24"/>
          <w:highlight w:val="none"/>
          <w:lang w:val="en-US"/>
        </w:rPr>
        <w:t>在</w:t>
      </w:r>
      <w:r>
        <w:rPr>
          <w:rStyle w:val="62"/>
          <w:rFonts w:hint="eastAsia" w:ascii="仿宋" w:hAnsi="仿宋" w:eastAsia="仿宋" w:cs="仿宋"/>
          <w:color w:val="auto"/>
          <w:sz w:val="24"/>
          <w:highlight w:val="none"/>
          <w:lang w:val="en-US" w:eastAsia="zh-CN"/>
        </w:rPr>
        <w:t>询价文件</w:t>
      </w:r>
      <w:r>
        <w:rPr>
          <w:rStyle w:val="62"/>
          <w:rFonts w:hint="eastAsia" w:ascii="仿宋" w:hAnsi="仿宋" w:eastAsia="仿宋" w:cs="仿宋"/>
          <w:color w:val="auto"/>
          <w:sz w:val="24"/>
          <w:highlight w:val="none"/>
          <w:lang w:val="en-US"/>
        </w:rPr>
        <w:t>规定的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有效期内撤回其</w:t>
      </w:r>
      <w:r>
        <w:rPr>
          <w:rStyle w:val="62"/>
          <w:rFonts w:hint="eastAsia" w:ascii="仿宋" w:hAnsi="仿宋" w:eastAsia="仿宋" w:cs="仿宋"/>
          <w:color w:val="auto"/>
          <w:sz w:val="24"/>
          <w:highlight w:val="none"/>
          <w:lang w:val="en-US" w:eastAsia="zh-CN"/>
        </w:rPr>
        <w:t>响应文件</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w:t>
      </w:r>
    </w:p>
    <w:p w14:paraId="4A2BFE1F">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rPr>
      </w:pPr>
      <w:bookmarkStart w:id="15" w:name="_Toc25159"/>
      <w:bookmarkStart w:id="16" w:name="_Toc10145"/>
      <w:r>
        <w:rPr>
          <w:rFonts w:hint="eastAsia" w:ascii="仿宋" w:hAnsi="仿宋" w:eastAsia="仿宋" w:cs="仿宋"/>
          <w:color w:val="auto"/>
          <w:sz w:val="28"/>
          <w:szCs w:val="28"/>
          <w:highlight w:val="none"/>
          <w:lang w:val="en-US" w:eastAsia="zh-CN"/>
        </w:rPr>
        <w:t>6.响应</w:t>
      </w:r>
      <w:r>
        <w:rPr>
          <w:rFonts w:hint="eastAsia" w:ascii="仿宋" w:hAnsi="仿宋" w:eastAsia="仿宋" w:cs="仿宋"/>
          <w:color w:val="auto"/>
          <w:sz w:val="28"/>
          <w:szCs w:val="28"/>
          <w:highlight w:val="none"/>
        </w:rPr>
        <w:t>文件的递交</w:t>
      </w:r>
      <w:bookmarkEnd w:id="15"/>
      <w:bookmarkEnd w:id="16"/>
      <w:bookmarkStart w:id="108" w:name="_GoBack"/>
      <w:bookmarkEnd w:id="108"/>
    </w:p>
    <w:p w14:paraId="253595B4">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rPr>
        <w:t>供应商应认真阅读附件1的全部内容，并按照征集文件的要求编制响应文件。供应商须在响应截止时间前，将响应文件（详见附件2）递交至以下地址：江西省赣州市章贡区江南宋城历史文化旅游区百家岭8号1楼会议室。</w:t>
      </w:r>
    </w:p>
    <w:p w14:paraId="43E883A7">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7" w:name="_Toc7119"/>
      <w:bookmarkStart w:id="18" w:name="_Toc27158"/>
      <w:r>
        <w:rPr>
          <w:rFonts w:hint="eastAsia" w:ascii="仿宋" w:hAnsi="仿宋" w:eastAsia="仿宋" w:cs="仿宋"/>
          <w:color w:val="auto"/>
          <w:sz w:val="28"/>
          <w:szCs w:val="28"/>
          <w:highlight w:val="none"/>
          <w:lang w:val="en-US" w:eastAsia="zh-CN"/>
        </w:rPr>
        <w:t>7.响应文件的开启</w:t>
      </w:r>
      <w:bookmarkEnd w:id="17"/>
      <w:bookmarkEnd w:id="18"/>
    </w:p>
    <w:p w14:paraId="5702429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响应截止时间和</w:t>
      </w:r>
      <w:r>
        <w:rPr>
          <w:rStyle w:val="62"/>
          <w:rFonts w:hint="eastAsia" w:ascii="仿宋" w:hAnsi="仿宋" w:eastAsia="仿宋" w:cs="仿宋"/>
          <w:color w:val="auto"/>
          <w:sz w:val="24"/>
          <w:highlight w:val="none"/>
          <w:lang w:val="en-US" w:eastAsia="zh-CN"/>
        </w:rPr>
        <w:t>开启</w:t>
      </w:r>
      <w:r>
        <w:rPr>
          <w:rStyle w:val="62"/>
          <w:rFonts w:hint="eastAsia" w:ascii="仿宋" w:hAnsi="仿宋" w:eastAsia="仿宋" w:cs="仿宋"/>
          <w:color w:val="auto"/>
          <w:sz w:val="24"/>
          <w:highlight w:val="none"/>
          <w:lang w:val="en-US"/>
        </w:rPr>
        <w:t>时间：</w:t>
      </w:r>
      <w:r>
        <w:rPr>
          <w:rStyle w:val="62"/>
          <w:rFonts w:hint="eastAsia" w:ascii="仿宋" w:hAnsi="仿宋" w:eastAsia="仿宋" w:cs="仿宋"/>
          <w:color w:val="auto"/>
          <w:sz w:val="24"/>
          <w:highlight w:val="none"/>
          <w:lang w:val="en-US" w:eastAsia="zh-CN"/>
        </w:rPr>
        <w:t xml:space="preserve"> 2026年6月3日上午10:00</w:t>
      </w:r>
    </w:p>
    <w:p w14:paraId="2177C14F">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z w:val="24"/>
          <w:highlight w:val="none"/>
          <w:lang w:val="en-US" w:eastAsia="zh-CN"/>
        </w:rPr>
        <w:t>2.响应文件开启、评审</w:t>
      </w:r>
      <w:r>
        <w:rPr>
          <w:rStyle w:val="62"/>
          <w:rFonts w:hint="eastAsia" w:ascii="仿宋" w:hAnsi="仿宋" w:eastAsia="仿宋" w:cs="仿宋"/>
          <w:color w:val="auto"/>
          <w:sz w:val="24"/>
          <w:highlight w:val="none"/>
          <w:lang w:val="en-US"/>
        </w:rPr>
        <w:t>地点：</w:t>
      </w:r>
      <w:r>
        <w:rPr>
          <w:rStyle w:val="62"/>
          <w:rFonts w:hint="eastAsia" w:ascii="仿宋" w:hAnsi="仿宋" w:eastAsia="仿宋" w:cs="仿宋"/>
          <w:color w:val="auto"/>
          <w:sz w:val="24"/>
          <w:highlight w:val="none"/>
          <w:lang w:val="en-US" w:eastAsia="zh-CN"/>
        </w:rPr>
        <w:t>江西省赣州市章贡区江南宋城历史文化旅游区百家岭8号1楼会议室</w:t>
      </w:r>
    </w:p>
    <w:p w14:paraId="725455DC">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9" w:name="_Toc22954"/>
      <w:bookmarkStart w:id="20" w:name="_Toc24321"/>
      <w:r>
        <w:rPr>
          <w:rFonts w:hint="eastAsia" w:ascii="仿宋" w:hAnsi="仿宋" w:eastAsia="仿宋" w:cs="仿宋"/>
          <w:color w:val="auto"/>
          <w:sz w:val="28"/>
          <w:szCs w:val="28"/>
          <w:highlight w:val="none"/>
          <w:lang w:val="en-US" w:eastAsia="zh-CN"/>
        </w:rPr>
        <w:t>8.合同签订及付款条件</w:t>
      </w:r>
      <w:bookmarkEnd w:id="19"/>
      <w:bookmarkEnd w:id="20"/>
    </w:p>
    <w:p w14:paraId="64D34E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8.1合同签订：</w:t>
      </w:r>
    </w:p>
    <w:p w14:paraId="4FB21A9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（1）入围框架协议的供应商应与赣州景区建设运营有限公司签订框架协议。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采购人从入围供应商按照报价下浮率由高到低的排名顺序选定供应商签订正式采购合同，排名靠前的供应商享有优先签订正式采购合同权</w:t>
      </w:r>
      <w:r>
        <w:rPr>
          <w:rFonts w:hint="eastAsia" w:ascii="仿宋" w:hAnsi="仿宋" w:eastAsia="仿宋" w:cs="仿宋"/>
          <w:color w:val="auto"/>
          <w:highlight w:val="none"/>
          <w:lang w:val="en-US" w:eastAsia="zh-CN"/>
        </w:rPr>
        <w:t>。</w:t>
      </w:r>
    </w:p>
    <w:p w14:paraId="4E886C3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项目实行履约保证金制度。履约保证金金额为按成交供应商报价下浮率折算后的合同估算价的5%。成交供应商应在收到成交通知书之日起7日内提交履约保证金，待合同全部履行完毕且无违约情形后，采购人一次性无息退还。</w:t>
      </w:r>
    </w:p>
    <w:p w14:paraId="2E35446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8.2付款条件：</w:t>
      </w:r>
    </w:p>
    <w:p w14:paraId="3A80EAB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按月据实结算，结算周期为每个自然月（例如：1月的结算周期为1月1日至1月31日）。供应商应于每月5日前，就上一结算周期的账目与采购人进行核对。经双方核对无误后，供应商须按照采购人提供的统一模板制作电子版对账单，并将该对账周期内完整的送货单凭证整理成册，一并提交至采购人。采购人确认无误后，通知供应商签署书面结算清单，并同步提供开票明细。供应商应在付款前向采购人开具与结算金额等额的增值税专用发票。采购人收到合规发票后，按约定支付相应款项。</w:t>
      </w:r>
    </w:p>
    <w:p w14:paraId="086F57FB">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次采购为赣州景区建设运营有限公司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628FE70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1" w:name="_Toc8456"/>
      <w:bookmarkStart w:id="22" w:name="_Toc763"/>
      <w:r>
        <w:rPr>
          <w:rFonts w:hint="eastAsia" w:ascii="仿宋" w:hAnsi="仿宋" w:eastAsia="仿宋" w:cs="仿宋"/>
          <w:b/>
          <w:color w:val="auto"/>
          <w:kern w:val="2"/>
          <w:sz w:val="28"/>
          <w:szCs w:val="28"/>
          <w:lang w:val="en-US" w:eastAsia="zh-CN" w:bidi="ar-SA"/>
        </w:rPr>
        <w:t>9.</w:t>
      </w:r>
      <w:r>
        <w:rPr>
          <w:rFonts w:hint="eastAsia" w:ascii="仿宋" w:hAnsi="仿宋" w:eastAsia="仿宋" w:cs="仿宋"/>
          <w:color w:val="auto"/>
          <w:sz w:val="28"/>
          <w:szCs w:val="28"/>
          <w:highlight w:val="none"/>
        </w:rPr>
        <w:t>发布公告的媒介</w:t>
      </w:r>
      <w:bookmarkEnd w:id="21"/>
      <w:bookmarkEnd w:id="22"/>
    </w:p>
    <w:p w14:paraId="57C51D88">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公告在</w:t>
      </w:r>
      <w:r>
        <w:rPr>
          <w:rFonts w:hint="eastAsia" w:ascii="仿宋" w:hAnsi="仿宋" w:eastAsia="仿宋" w:cs="仿宋"/>
          <w:color w:val="auto"/>
          <w:highlight w:val="none"/>
          <w:u w:val="none"/>
          <w:lang w:eastAsia="zh-CN"/>
        </w:rPr>
        <w:t>赣州旅游投资集团官网、宋潮</w:t>
      </w:r>
      <w:r>
        <w:rPr>
          <w:rFonts w:hint="eastAsia" w:ascii="仿宋" w:hAnsi="仿宋" w:eastAsia="仿宋" w:cs="仿宋"/>
          <w:color w:val="auto"/>
          <w:highlight w:val="none"/>
          <w:u w:val="none"/>
          <w:lang w:val="en-US" w:eastAsia="zh-CN"/>
        </w:rPr>
        <w:t>不夜城资讯</w:t>
      </w:r>
      <w:r>
        <w:rPr>
          <w:rFonts w:hint="eastAsia" w:ascii="仿宋" w:hAnsi="仿宋" w:eastAsia="仿宋" w:cs="仿宋"/>
          <w:color w:val="auto"/>
          <w:highlight w:val="none"/>
          <w:u w:val="none"/>
          <w:lang w:eastAsia="zh-CN"/>
        </w:rPr>
        <w:t>平台</w:t>
      </w:r>
      <w:r>
        <w:rPr>
          <w:rFonts w:hint="eastAsia" w:ascii="仿宋" w:hAnsi="仿宋" w:eastAsia="仿宋" w:cs="仿宋"/>
          <w:color w:val="auto"/>
          <w:highlight w:val="none"/>
        </w:rPr>
        <w:t>发布。</w:t>
      </w:r>
    </w:p>
    <w:p w14:paraId="40A5DA2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3" w:name="_Toc22412"/>
      <w:bookmarkStart w:id="24" w:name="_Toc6094"/>
      <w:r>
        <w:rPr>
          <w:rFonts w:hint="eastAsia" w:ascii="仿宋" w:hAnsi="仿宋" w:eastAsia="仿宋" w:cs="仿宋"/>
          <w:b/>
          <w:color w:val="auto"/>
          <w:kern w:val="2"/>
          <w:sz w:val="28"/>
          <w:szCs w:val="28"/>
          <w:lang w:val="en-US" w:eastAsia="zh-CN" w:bidi="ar-SA"/>
        </w:rPr>
        <w:t>10.</w:t>
      </w:r>
      <w:r>
        <w:rPr>
          <w:rFonts w:hint="eastAsia" w:ascii="仿宋" w:hAnsi="仿宋" w:eastAsia="仿宋" w:cs="仿宋"/>
          <w:color w:val="auto"/>
          <w:sz w:val="28"/>
          <w:szCs w:val="28"/>
          <w:highlight w:val="none"/>
        </w:rPr>
        <w:t>联系方式</w:t>
      </w:r>
      <w:bookmarkEnd w:id="23"/>
      <w:bookmarkEnd w:id="24"/>
    </w:p>
    <w:p w14:paraId="15798D0E">
      <w:pPr>
        <w:widowControl/>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人信息</w:t>
      </w:r>
    </w:p>
    <w:p w14:paraId="53F57CE5">
      <w:pPr>
        <w:spacing w:line="360" w:lineRule="auto"/>
        <w:ind w:firstLine="480" w:firstLineChars="200"/>
        <w:jc w:val="left"/>
        <w:rPr>
          <w:rFonts w:hint="eastAsia" w:ascii="仿宋" w:hAnsi="仿宋" w:eastAsia="仿宋" w:cs="仿宋"/>
          <w:color w:val="auto"/>
          <w:highlight w:val="none"/>
          <w:u w:val="none"/>
          <w:lang w:eastAsia="zh-CN"/>
        </w:rPr>
      </w:pPr>
      <w:r>
        <w:rPr>
          <w:rFonts w:hint="eastAsia" w:ascii="仿宋" w:hAnsi="仿宋" w:eastAsia="仿宋" w:cs="仿宋"/>
          <w:color w:val="auto"/>
          <w:highlight w:val="none"/>
        </w:rPr>
        <w:t>名称：</w:t>
      </w:r>
      <w:r>
        <w:rPr>
          <w:rFonts w:hint="eastAsia" w:ascii="仿宋" w:hAnsi="仿宋" w:eastAsia="仿宋" w:cs="仿宋"/>
          <w:color w:val="auto"/>
          <w:highlight w:val="none"/>
          <w:u w:val="none"/>
        </w:rPr>
        <w:tab/>
      </w:r>
      <w:r>
        <w:rPr>
          <w:rFonts w:hint="eastAsia" w:ascii="仿宋" w:hAnsi="仿宋" w:eastAsia="仿宋" w:cs="仿宋"/>
          <w:color w:val="auto"/>
          <w:highlight w:val="none"/>
          <w:u w:val="none"/>
          <w:lang w:eastAsia="zh-CN"/>
        </w:rPr>
        <w:t>赣州景区建设运营有限公司</w:t>
      </w:r>
    </w:p>
    <w:p w14:paraId="33EAFB4C">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rPr>
        <w:t>地址：</w:t>
      </w:r>
      <w:r>
        <w:rPr>
          <w:rFonts w:hint="eastAsia" w:ascii="仿宋" w:hAnsi="仿宋" w:eastAsia="仿宋" w:cs="仿宋"/>
          <w:color w:val="auto"/>
          <w:highlight w:val="none"/>
          <w:u w:val="none"/>
          <w:lang w:val="en-US" w:eastAsia="zh-CN"/>
        </w:rPr>
        <w:t>江西省赣州市章贡区江南宋城历史文化旅游区百家岭8号1楼会议室</w:t>
      </w:r>
    </w:p>
    <w:p w14:paraId="443A100E">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u w:val="none"/>
        </w:rPr>
        <w:t>联系方式：</w:t>
      </w:r>
      <w:r>
        <w:rPr>
          <w:rFonts w:hint="eastAsia" w:ascii="仿宋" w:hAnsi="仿宋" w:eastAsia="仿宋" w:cs="仿宋"/>
          <w:color w:val="auto"/>
          <w:highlight w:val="none"/>
          <w:u w:val="none"/>
          <w:lang w:val="en-US" w:eastAsia="zh-CN"/>
        </w:rPr>
        <w:t xml:space="preserve">罗先生，15180279397 </w:t>
      </w:r>
    </w:p>
    <w:p w14:paraId="3ED2BAD9">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10.2</w:t>
      </w:r>
      <w:r>
        <w:rPr>
          <w:rFonts w:hint="eastAsia" w:ascii="仿宋" w:hAnsi="仿宋" w:eastAsia="仿宋" w:cs="仿宋"/>
          <w:color w:val="auto"/>
          <w:sz w:val="24"/>
          <w:highlight w:val="none"/>
        </w:rPr>
        <w:t>监督部门及联系方式</w:t>
      </w:r>
    </w:p>
    <w:p w14:paraId="6BC6DF63">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监督部门：</w:t>
      </w:r>
      <w:r>
        <w:rPr>
          <w:rFonts w:hint="eastAsia" w:ascii="仿宋" w:hAnsi="仿宋" w:eastAsia="仿宋" w:cs="仿宋"/>
          <w:color w:val="auto"/>
          <w:sz w:val="24"/>
          <w:highlight w:val="none"/>
          <w:u w:val="none"/>
        </w:rPr>
        <w:t>赣州市纪委市监委驻旅投集团纪检监察组</w:t>
      </w:r>
    </w:p>
    <w:p w14:paraId="571540A7">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none"/>
        </w:rPr>
        <w:t>江西省赣州市章贡区赣江源大道15号</w:t>
      </w:r>
    </w:p>
    <w:p w14:paraId="5429D8A4">
      <w:pPr>
        <w:pStyle w:val="14"/>
        <w:spacing w:line="360" w:lineRule="auto"/>
        <w:ind w:firstLine="480" w:firstLineChars="200"/>
        <w:rPr>
          <w:rFonts w:hint="eastAsia" w:ascii="仿宋" w:hAnsi="仿宋" w:eastAsia="仿宋" w:cs="仿宋"/>
          <w:bCs/>
          <w:color w:val="auto"/>
          <w:sz w:val="24"/>
          <w:highlight w:val="none"/>
          <w:u w:val="none"/>
          <w:lang w:val="en-US" w:eastAsia="zh-CN"/>
        </w:rPr>
      </w:pPr>
      <w:r>
        <w:rPr>
          <w:rFonts w:hint="eastAsia" w:ascii="仿宋" w:hAnsi="仿宋" w:eastAsia="仿宋" w:cs="仿宋"/>
          <w:bCs/>
          <w:color w:val="auto"/>
          <w:sz w:val="24"/>
          <w:highlight w:val="none"/>
        </w:rPr>
        <w:t>电话：</w:t>
      </w:r>
      <w:r>
        <w:rPr>
          <w:rFonts w:hint="eastAsia" w:ascii="仿宋" w:hAnsi="仿宋" w:eastAsia="仿宋" w:cs="仿宋"/>
          <w:bCs/>
          <w:color w:val="auto"/>
          <w:sz w:val="24"/>
          <w:highlight w:val="none"/>
          <w:u w:val="none"/>
        </w:rPr>
        <w:t>0797-</w:t>
      </w:r>
      <w:r>
        <w:rPr>
          <w:rFonts w:hint="eastAsia" w:ascii="仿宋" w:hAnsi="仿宋" w:eastAsia="仿宋" w:cs="仿宋"/>
          <w:bCs/>
          <w:color w:val="auto"/>
          <w:sz w:val="24"/>
          <w:highlight w:val="none"/>
          <w:u w:val="none"/>
          <w:lang w:val="en-US" w:eastAsia="zh-CN"/>
        </w:rPr>
        <w:t>5550580</w:t>
      </w:r>
    </w:p>
    <w:p w14:paraId="129EB3B6">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pPr>
    </w:p>
    <w:p w14:paraId="66F52021">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highlight w:val="none"/>
          <w:u w:val="none"/>
          <w:lang w:val="en-US" w:eastAsia="zh-CN"/>
        </w:rPr>
        <w:t>2026年5月</w:t>
      </w:r>
      <w:r>
        <w:rPr>
          <w:rStyle w:val="62"/>
          <w:rFonts w:hint="eastAsia" w:ascii="仿宋" w:hAnsi="仿宋" w:eastAsia="仿宋" w:cs="仿宋"/>
          <w:color w:val="auto"/>
          <w:sz w:val="24"/>
          <w:highlight w:val="none"/>
          <w:lang w:val="en-US" w:eastAsia="zh-CN"/>
        </w:rPr>
        <w:t>14</w:t>
      </w:r>
      <w:r>
        <w:rPr>
          <w:rFonts w:hint="eastAsia" w:ascii="仿宋" w:hAnsi="仿宋" w:eastAsia="仿宋" w:cs="仿宋"/>
          <w:bCs/>
          <w:color w:val="auto"/>
          <w:sz w:val="24"/>
          <w:highlight w:val="none"/>
          <w:u w:val="none"/>
          <w:lang w:val="en-US" w:eastAsia="zh-CN"/>
        </w:rPr>
        <w:t>日</w:t>
      </w:r>
    </w:p>
    <w:p w14:paraId="0ECE3374">
      <w:pPr>
        <w:pStyle w:val="2"/>
        <w:numPr>
          <w:ilvl w:val="0"/>
          <w:numId w:val="0"/>
        </w:numPr>
        <w:spacing w:before="200" w:after="200" w:line="560" w:lineRule="exact"/>
        <w:jc w:val="center"/>
        <w:rPr>
          <w:rFonts w:hint="eastAsia" w:ascii="仿宋" w:hAnsi="仿宋" w:eastAsia="仿宋" w:cs="仿宋"/>
          <w:color w:val="auto"/>
          <w:highlight w:val="none"/>
        </w:rPr>
      </w:pPr>
      <w:bookmarkStart w:id="25" w:name="_Toc15567"/>
      <w:bookmarkStart w:id="26" w:name="_Toc24391"/>
      <w:bookmarkStart w:id="27" w:name="投标人须知"/>
      <w:r>
        <w:rPr>
          <w:rFonts w:hint="eastAsia" w:ascii="仿宋" w:hAnsi="仿宋" w:eastAsia="仿宋" w:cs="仿宋"/>
          <w:color w:val="auto"/>
          <w:highlight w:val="none"/>
        </w:rPr>
        <w:t>第二</w:t>
      </w:r>
      <w:r>
        <w:rPr>
          <w:rFonts w:hint="eastAsia" w:ascii="仿宋" w:hAnsi="仿宋" w:eastAsia="仿宋" w:cs="仿宋"/>
          <w:color w:val="auto"/>
          <w:highlight w:val="none"/>
          <w:lang w:val="en-US" w:eastAsia="zh-CN"/>
        </w:rPr>
        <w:t>章</w:t>
      </w:r>
      <w:r>
        <w:rPr>
          <w:rFonts w:hint="eastAsia" w:ascii="仿宋" w:hAnsi="仿宋" w:eastAsia="仿宋" w:cs="仿宋"/>
          <w:color w:val="auto"/>
          <w:highlight w:val="none"/>
        </w:rPr>
        <w:t xml:space="preserve">  </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须知</w:t>
      </w:r>
      <w:bookmarkEnd w:id="25"/>
      <w:bookmarkEnd w:id="26"/>
    </w:p>
    <w:bookmarkEnd w:id="27"/>
    <w:p w14:paraId="6A89E4F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28" w:name="_Toc3628"/>
      <w:bookmarkStart w:id="29" w:name="_Toc14038"/>
      <w:bookmarkStart w:id="30" w:name="投标格式"/>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项目概况</w:t>
      </w:r>
      <w:bookmarkEnd w:id="28"/>
      <w:bookmarkEnd w:id="29"/>
    </w:p>
    <w:p w14:paraId="35000729">
      <w:pPr>
        <w:spacing w:line="360" w:lineRule="auto"/>
        <w:ind w:firstLine="480" w:firstLineChars="200"/>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1.1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w:t>
      </w:r>
      <w:r>
        <w:rPr>
          <w:rFonts w:hint="eastAsia" w:ascii="仿宋" w:hAnsi="仿宋" w:eastAsia="仿宋" w:cs="仿宋"/>
          <w:color w:val="auto"/>
          <w:highlight w:val="none"/>
          <w:u w:val="none"/>
          <w:lang w:eastAsia="zh-CN"/>
        </w:rPr>
        <w:t>赣州景区建设运营有限公司</w:t>
      </w:r>
    </w:p>
    <w:p w14:paraId="67205317">
      <w:pPr>
        <w:numPr>
          <w:ilvl w:val="-1"/>
          <w:numId w:val="0"/>
        </w:numPr>
        <w:spacing w:line="360" w:lineRule="auto"/>
        <w:ind w:firstLine="480"/>
        <w:jc w:val="left"/>
        <w:rPr>
          <w:rFonts w:hint="eastAsia" w:ascii="仿宋" w:hAnsi="仿宋" w:eastAsia="仿宋" w:cs="仿宋"/>
          <w:b/>
          <w:color w:val="auto"/>
          <w:kern w:val="0"/>
          <w:sz w:val="32"/>
          <w:szCs w:val="20"/>
          <w:highlight w:val="none"/>
          <w:u w:val="single"/>
          <w:lang w:val="en-US" w:eastAsia="zh-CN" w:bidi="ar-SA"/>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项目名称：</w:t>
      </w:r>
      <w:r>
        <w:rPr>
          <w:rFonts w:hint="eastAsia" w:ascii="仿宋" w:hAnsi="仿宋" w:eastAsia="仿宋" w:cs="仿宋"/>
          <w:color w:val="auto"/>
          <w:highlight w:val="none"/>
          <w:u w:val="none"/>
          <w:lang w:eastAsia="zh-CN"/>
        </w:rPr>
        <w:t>赣州景区建设运营有限公司调料类产品2026</w:t>
      </w:r>
      <w:r>
        <w:rPr>
          <w:rFonts w:hint="eastAsia" w:ascii="仿宋" w:hAnsi="仿宋" w:eastAsia="仿宋" w:cs="仿宋"/>
          <w:color w:val="auto"/>
          <w:highlight w:val="none"/>
          <w:u w:val="none"/>
          <w:lang w:val="en-US" w:eastAsia="zh-CN"/>
        </w:rPr>
        <w:t>-2027</w:t>
      </w:r>
      <w:r>
        <w:rPr>
          <w:rFonts w:hint="eastAsia" w:ascii="仿宋" w:hAnsi="仿宋" w:eastAsia="仿宋" w:cs="仿宋"/>
          <w:color w:val="auto"/>
          <w:highlight w:val="none"/>
          <w:u w:val="none"/>
          <w:lang w:eastAsia="zh-CN"/>
        </w:rPr>
        <w:t>年度框架协议供应商入围征集项目。</w:t>
      </w:r>
    </w:p>
    <w:p w14:paraId="4A7F9149">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1" w:name="_Toc4925"/>
      <w:bookmarkStart w:id="32" w:name="_Toc6011"/>
      <w:r>
        <w:rPr>
          <w:rFonts w:hint="eastAsia" w:ascii="仿宋" w:hAnsi="仿宋" w:eastAsia="仿宋" w:cs="仿宋"/>
          <w:b/>
          <w:color w:val="auto"/>
          <w:kern w:val="2"/>
          <w:sz w:val="28"/>
          <w:szCs w:val="28"/>
          <w:lang w:val="en-US" w:eastAsia="zh-CN" w:bidi="ar-SA"/>
        </w:rPr>
        <w:t>2.采购范围、交货期、交货地点和质量标准</w:t>
      </w:r>
      <w:bookmarkEnd w:id="31"/>
      <w:bookmarkEnd w:id="32"/>
      <w:r>
        <w:rPr>
          <w:rFonts w:hint="eastAsia" w:ascii="仿宋" w:hAnsi="仿宋" w:eastAsia="仿宋" w:cs="仿宋"/>
          <w:color w:val="auto"/>
          <w:sz w:val="28"/>
          <w:szCs w:val="28"/>
          <w:lang w:val="en-US" w:eastAsia="zh-CN"/>
        </w:rPr>
        <w:t xml:space="preserve"> </w:t>
      </w:r>
    </w:p>
    <w:p w14:paraId="7C54993D">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2.1采购范围：</w:t>
      </w:r>
      <w:r>
        <w:rPr>
          <w:rFonts w:hint="eastAsia" w:ascii="仿宋" w:hAnsi="仿宋" w:eastAsia="仿宋" w:cs="仿宋"/>
          <w:color w:val="auto"/>
          <w:highlight w:val="none"/>
          <w:lang w:eastAsia="zh-CN"/>
        </w:rPr>
        <w:t>赣州景区建设运营有限公司2026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w:t>
      </w:r>
      <w:r>
        <w:rPr>
          <w:rFonts w:hint="eastAsia" w:ascii="仿宋" w:hAnsi="仿宋" w:eastAsia="仿宋" w:cs="仿宋"/>
          <w:color w:val="auto"/>
          <w:highlight w:val="none"/>
          <w:lang w:val="en-US" w:eastAsia="zh-CN"/>
        </w:rPr>
        <w:t xml:space="preserve">调料类产品。 </w:t>
      </w:r>
    </w:p>
    <w:p w14:paraId="5194981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2.2 交货期：服务期为1年，自合同签订之日起12个日历月。 </w:t>
      </w:r>
    </w:p>
    <w:p w14:paraId="400B926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2.3 交货地点：赣州市中心城区。 </w:t>
      </w:r>
    </w:p>
    <w:p w14:paraId="3304E3F3">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 质量标准：</w:t>
      </w:r>
    </w:p>
    <w:p w14:paraId="7800D57E">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2.4.1 供应商的商品质量与包装应当符合国家相关法律法规的规定，符合行业主管部门发布的规定、标准、规范。</w:t>
      </w:r>
    </w:p>
    <w:p w14:paraId="5B502085">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2.4.2 按规定必须经由法定食品检验机构检测的商品，供应商应于采购人采购时向采购人提供同批次产品检验报告或合格证（复印件）。</w:t>
      </w:r>
    </w:p>
    <w:p w14:paraId="13643854">
      <w:pPr>
        <w:numPr>
          <w:ilvl w:val="0"/>
          <w:numId w:val="0"/>
        </w:numPr>
        <w:spacing w:line="360" w:lineRule="auto"/>
        <w:ind w:firstLine="480" w:firstLineChars="200"/>
        <w:jc w:val="left"/>
        <w:rPr>
          <w:rFonts w:hint="eastAsia" w:ascii="仿宋" w:hAnsi="仿宋" w:eastAsia="仿宋" w:cs="仿宋"/>
          <w:color w:val="FF0000"/>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2.4.3 供应商所供应的调料类食材，送达时的剩余保质期不得少于商品明示保质期的1/2。</w:t>
      </w:r>
    </w:p>
    <w:p w14:paraId="7F6BEB18">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2.4.4 采购人经营过程中发生的政府部门按规定进行的涉及供应商所供商品的质量检验，如检验部门收取费用，检验费用承担方式约定为：如商品质量经检验合格，检验费由双方各担50%；商品质量经检验不合格的，检测费由供应商承担（</w:t>
      </w:r>
      <w:r>
        <w:rPr>
          <w:rFonts w:hint="eastAsia" w:ascii="仿宋" w:hAnsi="仿宋" w:eastAsia="仿宋" w:cs="仿宋"/>
          <w:i w:val="0"/>
          <w:iCs w:val="0"/>
          <w:caps w:val="0"/>
          <w:color w:val="000000" w:themeColor="text1"/>
          <w:spacing w:val="0"/>
          <w:sz w:val="24"/>
          <w:szCs w:val="24"/>
          <w:highlight w:val="none"/>
          <w:shd w:val="clear" w:fill="auto"/>
          <w14:textFill>
            <w14:solidFill>
              <w14:schemeClr w14:val="tx1"/>
            </w14:solidFill>
          </w14:textFill>
        </w:rPr>
        <w:t>若因此导致采购人遭受行政处罚的，所产生的一切损失（含行政罚款）均由供应商承担</w:t>
      </w:r>
      <w:r>
        <w:rPr>
          <w:rFonts w:hint="eastAsia" w:ascii="仿宋" w:hAnsi="仿宋" w:eastAsia="仿宋" w:cs="仿宋"/>
          <w:color w:val="000000" w:themeColor="text1"/>
          <w:highlight w:val="none"/>
          <w:lang w:val="en-US" w:eastAsia="zh-CN"/>
          <w14:textFill>
            <w14:solidFill>
              <w14:schemeClr w14:val="tx1"/>
            </w14:solidFill>
          </w14:textFill>
        </w:rPr>
        <w:t>）。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5FDCEFC2">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2.4.5 供应商不得向采购人供应下列商品（产品），违反本项约定，供应商应承担由此造成的经济损失及法律责任，并向采购人支付2万元的违约金；采购人有权中止本合同。</w:t>
      </w:r>
    </w:p>
    <w:p w14:paraId="30DD0EF4">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（1）用回收食品作为原料生产的；</w:t>
      </w:r>
    </w:p>
    <w:p w14:paraId="02CBCC6F">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（2）严重不符合食品安全标准的；</w:t>
      </w:r>
    </w:p>
    <w:p w14:paraId="4A05A8A3">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（3）腐败变质的；</w:t>
      </w:r>
    </w:p>
    <w:p w14:paraId="234E222B">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（4）超过保质期的；</w:t>
      </w:r>
    </w:p>
    <w:p w14:paraId="138D4FD4">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（5）国家明令禁止生产经营的；</w:t>
      </w:r>
    </w:p>
    <w:p w14:paraId="40D0CA70">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（6）其他严重违反国家法律法规及行政主管部门规定的商品。</w:t>
      </w:r>
    </w:p>
    <w:p w14:paraId="24BA71B4">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2.4.6 所供产品须符合GB 31644-2018《食品安全国家标准复合调味料》、GB 2760-2024《食品安全国家标准食品添加剂使用标准》、GB 2761-2017《食品安全国家标准食品中真菌毒素限量》、GB 2762-2025《食品安全国家标准食品中污染物限量》、GB/T 15691-2026《香辛料调味品通用技术条件》、GB 2717-2018《食品安全国家标准酱油》、QB/T 8152-2025《发酵型米酒》、GB/T 45352-2025《鸡精调味料质量通则》等国家标准或行业标准要求。</w:t>
      </w:r>
    </w:p>
    <w:p w14:paraId="3A9E9B66">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2.4.7 若供应商所售产品经采购人检验有质量瑕疵或系假冒伪劣产品或不符合合同要求的，采购人有权要求退货或换货。如累计3次抽检不合格的，采购人有权要求供应商支付合同总金额10%的违约金并解除合同。</w:t>
      </w:r>
    </w:p>
    <w:p w14:paraId="28847CFB">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2.4.8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2.4.9供应商延迟交货的，每延迟一日按当批货款金额的千分之一支付违约金；延迟超过3日的，采购人有权解除合同并要求供应商赔偿全部损失</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含营业损失、临时采购差价等</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w:t>
      </w:r>
    </w:p>
    <w:p w14:paraId="784EB82E">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2.4.10违约方应承担守约方为实现本合同项下权益所支出的所有费用，包括但不限于律师费、诉讼费、执行费、鉴定费、保全费、保全保险费等费用。</w:t>
      </w:r>
    </w:p>
    <w:p w14:paraId="7F7E2B9F">
      <w:pPr>
        <w:spacing w:line="360" w:lineRule="auto"/>
        <w:ind w:firstLine="480" w:firstLineChars="200"/>
        <w:jc w:val="left"/>
        <w:rPr>
          <w:rFonts w:hint="eastAsia" w:ascii="仿宋" w:hAnsi="仿宋" w:eastAsia="仿宋" w:cs="仿宋"/>
          <w:b w:val="0"/>
          <w:bCs w:val="0"/>
          <w:sz w:val="24"/>
          <w:szCs w:val="24"/>
          <w:highlight w:val="none"/>
          <w:lang w:eastAsia="zh-CN"/>
        </w:rPr>
      </w:pPr>
      <w:r>
        <w:rPr>
          <w:rFonts w:hint="eastAsia" w:ascii="仿宋" w:hAnsi="仿宋" w:eastAsia="仿宋" w:cs="仿宋"/>
          <w:color w:val="auto"/>
          <w:kern w:val="2"/>
          <w:sz w:val="24"/>
          <w:szCs w:val="24"/>
          <w:highlight w:val="none"/>
          <w:lang w:val="en-US" w:eastAsia="zh-CN" w:bidi="ar-SA"/>
        </w:rPr>
        <w:t>2.5 退换货</w:t>
      </w:r>
    </w:p>
    <w:p w14:paraId="2BF9AD23">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2.5.1 项目特殊需求定制产品，非品质问题不予退换；生鲜产品，非品质问题不予退换；大宗流通标品，三分之一有效期内，不影响二次销售情况下，有合理原因和需求，可以申请退换服务。 </w:t>
      </w:r>
    </w:p>
    <w:p w14:paraId="59C2E8AF">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2.5.2 因供应商所供商品出现质量问题的，采购人应给予退货，由此产生的相关费用、损失由供应商承担。</w:t>
      </w:r>
    </w:p>
    <w:p w14:paraId="18D317C5">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2.6采购人有权从应付货款中直接扣除</w:t>
      </w:r>
      <w:r>
        <w:rPr>
          <w:rFonts w:hint="eastAsia" w:ascii="仿宋" w:hAnsi="仿宋" w:eastAsia="仿宋" w:cs="仿宋"/>
          <w:lang w:val="en-US" w:eastAsia="zh-CN"/>
        </w:rPr>
        <w:t>：</w:t>
      </w:r>
    </w:p>
    <w:p w14:paraId="44F1097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（1）</w:t>
      </w:r>
      <w:r>
        <w:rPr>
          <w:rFonts w:hint="eastAsia" w:ascii="仿宋" w:hAnsi="仿宋" w:eastAsia="仿宋" w:cs="仿宋"/>
          <w:color w:val="auto"/>
          <w:highlight w:val="none"/>
          <w:lang w:val="en-US" w:eastAsia="zh-CN"/>
        </w:rPr>
        <w:t>供应商应承担的违约金、赔偿金</w:t>
      </w:r>
      <w:r>
        <w:rPr>
          <w:rFonts w:hint="eastAsia" w:ascii="仿宋" w:hAnsi="仿宋" w:eastAsia="仿宋" w:cs="仿宋"/>
          <w:lang w:val="en-US" w:eastAsia="zh-CN"/>
        </w:rPr>
        <w:t>；</w:t>
      </w:r>
    </w:p>
    <w:p w14:paraId="45F58D64">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（2）</w:t>
      </w:r>
      <w:r>
        <w:rPr>
          <w:rFonts w:hint="eastAsia" w:ascii="仿宋" w:hAnsi="仿宋" w:eastAsia="仿宋" w:cs="仿宋"/>
          <w:color w:val="auto"/>
          <w:highlight w:val="none"/>
          <w:lang w:val="en-US" w:eastAsia="zh-CN"/>
        </w:rPr>
        <w:t>不合格商品退货款</w:t>
      </w:r>
      <w:r>
        <w:rPr>
          <w:rFonts w:hint="eastAsia" w:ascii="仿宋" w:hAnsi="仿宋" w:eastAsia="仿宋" w:cs="仿宋"/>
          <w:lang w:val="en-US" w:eastAsia="zh-CN"/>
        </w:rPr>
        <w:t>；</w:t>
      </w:r>
    </w:p>
    <w:p w14:paraId="1BA586B9">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（3）</w:t>
      </w:r>
      <w:r>
        <w:rPr>
          <w:rFonts w:hint="eastAsia" w:ascii="仿宋" w:hAnsi="仿宋" w:eastAsia="仿宋" w:cs="仿宋"/>
          <w:color w:val="auto"/>
          <w:highlight w:val="none"/>
          <w:lang w:val="en-US" w:eastAsia="zh-CN"/>
        </w:rPr>
        <w:t>采购人代垫的检测费、罚款等。</w:t>
      </w:r>
    </w:p>
    <w:p w14:paraId="43ED334A">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2.7留样要求</w:t>
      </w:r>
    </w:p>
    <w:p w14:paraId="1032FE6F">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供应商须对每次配送的所有食材逐品种留样，每品种≥125g，专用密闭容器盛放，0℃–8℃冷藏保存≥48 小时，上锁专柜、专人管理。留样记录含：食材名称、品牌、规格、批次、留样量、留样时间、留样人、审核人，记录保存≥2 年。高风险食材（肉 / 水产 / 熟食 / 豆制品）必须逐批附检疫 / 溯源 / 农残报告，随货归档。</w:t>
      </w:r>
    </w:p>
    <w:p w14:paraId="7CD0BB66">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3" w:name="_Toc1989"/>
      <w:bookmarkStart w:id="34" w:name="_Toc1730"/>
      <w:r>
        <w:rPr>
          <w:rFonts w:hint="eastAsia" w:ascii="仿宋" w:hAnsi="仿宋" w:eastAsia="仿宋" w:cs="仿宋"/>
          <w:color w:val="auto"/>
          <w:sz w:val="28"/>
          <w:szCs w:val="28"/>
          <w:lang w:val="en-US" w:eastAsia="zh-CN"/>
        </w:rPr>
        <w:t>3.供应商资格要求</w:t>
      </w:r>
      <w:bookmarkEnd w:id="33"/>
      <w:bookmarkEnd w:id="34"/>
      <w:r>
        <w:rPr>
          <w:rFonts w:hint="eastAsia" w:ascii="仿宋" w:hAnsi="仿宋" w:eastAsia="仿宋" w:cs="仿宋"/>
          <w:color w:val="auto"/>
          <w:sz w:val="28"/>
          <w:szCs w:val="28"/>
          <w:lang w:val="en-US" w:eastAsia="zh-CN"/>
        </w:rPr>
        <w:t xml:space="preserve"> </w:t>
      </w:r>
    </w:p>
    <w:p w14:paraId="5A1D76A7">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5E72BD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03001A62">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23534AB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025A8C7">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734BD47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61C1F2F">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（6）业绩要求：供应商近5年内（合同签订时间为2021年5月1日至投标截止时间前）独立承接过调料类产品供应项目（或供应内容中包含调料类产品的供应项目）至少提供1个。</w:t>
      </w:r>
    </w:p>
    <w:p w14:paraId="1CB83A4C">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596185E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单位负责人为同一人或者存在直接控股、管理关系的不同供应商，不得参加同一合同项下的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3C7B724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被“信用中国”网站列入失信被执行人和重大税收违法案件当事人名单的、被“中国政府采购网”网站列入政府采购严重违法失信行为记录名单（处罚期限尚未届满的）供应商，不得参与本项目的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477A91D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09E4691E">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5" w:name="_Toc6514"/>
      <w:bookmarkStart w:id="36" w:name="_Toc26548"/>
      <w:r>
        <w:rPr>
          <w:rFonts w:hint="eastAsia" w:ascii="仿宋" w:hAnsi="仿宋" w:eastAsia="仿宋" w:cs="仿宋"/>
          <w:color w:val="auto"/>
          <w:sz w:val="28"/>
          <w:szCs w:val="28"/>
          <w:lang w:val="en-US" w:eastAsia="zh-CN"/>
        </w:rPr>
        <w:t>4.供应商不得存在的情形</w:t>
      </w:r>
      <w:bookmarkEnd w:id="35"/>
      <w:bookmarkEnd w:id="36"/>
    </w:p>
    <w:p w14:paraId="46AC5C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供应商不得存在下列情形之一： </w:t>
      </w:r>
    </w:p>
    <w:p w14:paraId="49CA24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（1）与采购人存在利害关系且可能影响采购公正性； </w:t>
      </w:r>
    </w:p>
    <w:p w14:paraId="74433F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（2）与本采购项目的其他供应商为同一个单位负责人； </w:t>
      </w:r>
    </w:p>
    <w:p w14:paraId="052522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（3）与本采购项目的其他供应商存在控股、管理关系； </w:t>
      </w:r>
    </w:p>
    <w:p w14:paraId="435207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（4）被依法暂停或者取消投标资格； </w:t>
      </w:r>
    </w:p>
    <w:p w14:paraId="3B1105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（5）被责令停产停业、暂扣或者吊销许可证、暂扣或者吊销执照； </w:t>
      </w:r>
    </w:p>
    <w:p w14:paraId="11CFA7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（6）进入清算程序，或被宣告破产，或其他丧失履约能力的情形； </w:t>
      </w:r>
    </w:p>
    <w:p w14:paraId="65A6F3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（7）在最近三年内发生重大产品质量问题（以相关行业主管部门的行政处罚决定或司法机关出具的有关法律文书为准）； </w:t>
      </w:r>
    </w:p>
    <w:p w14:paraId="0E8F2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（8）被工商行政管理机关在国家企业信用信息公示系统中列入严重违法失信企业名单； </w:t>
      </w:r>
    </w:p>
    <w:p w14:paraId="42C8B12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（9）被最高人民法院在“信用中国”网站（www.creditchina.gov.cn）或各级信用信息共享平台中列入失信被执行人名单； </w:t>
      </w:r>
    </w:p>
    <w:p w14:paraId="13CBC6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（10）在近三年内供应商或其法定代表人、拟委任的项目负责人有行贿犯罪行为的（以检察机关职务犯罪预防部门出具的查询结果为准）； </w:t>
      </w:r>
    </w:p>
    <w:p w14:paraId="1C3477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（11）法律法规规定的其他情形。 </w:t>
      </w:r>
    </w:p>
    <w:bookmarkEnd w:id="30"/>
    <w:p w14:paraId="6F92D750">
      <w:pPr>
        <w:pStyle w:val="3"/>
        <w:numPr>
          <w:ilvl w:val="1"/>
          <w:numId w:val="0"/>
        </w:numPr>
        <w:spacing w:before="0" w:after="0" w:line="560" w:lineRule="exact"/>
        <w:ind w:firstLine="403"/>
        <w:outlineLvl w:val="9"/>
        <w:rPr>
          <w:rFonts w:hint="eastAsia" w:ascii="仿宋" w:hAnsi="仿宋" w:eastAsia="仿宋" w:cs="仿宋"/>
          <w:b/>
          <w:color w:val="auto"/>
          <w:kern w:val="2"/>
          <w:sz w:val="28"/>
          <w:szCs w:val="28"/>
          <w:lang w:val="en-US" w:eastAsia="zh-CN" w:bidi="ar-SA"/>
        </w:rPr>
      </w:pPr>
      <w:bookmarkStart w:id="37" w:name="_Toc30001"/>
      <w:bookmarkStart w:id="38" w:name="_Toc17239"/>
      <w:r>
        <w:rPr>
          <w:rFonts w:hint="eastAsia" w:ascii="仿宋" w:hAnsi="仿宋" w:eastAsia="仿宋" w:cs="仿宋"/>
          <w:b/>
          <w:color w:val="auto"/>
          <w:kern w:val="2"/>
          <w:sz w:val="28"/>
          <w:szCs w:val="28"/>
          <w:lang w:val="en-US" w:eastAsia="zh-CN" w:bidi="ar-SA"/>
        </w:rPr>
        <w:t>5.合同价款</w:t>
      </w:r>
      <w:bookmarkEnd w:id="37"/>
      <w:bookmarkEnd w:id="38"/>
    </w:p>
    <w:p w14:paraId="4F912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额约40万元。每次采购以采购人实际购买发生和本合同价格</w:t>
      </w:r>
      <w:r>
        <w:rPr>
          <w:rStyle w:val="62"/>
          <w:rFonts w:hint="eastAsia" w:ascii="仿宋" w:hAnsi="仿宋" w:eastAsia="仿宋" w:cs="仿宋"/>
          <w:color w:val="auto"/>
          <w:kern w:val="2"/>
          <w:sz w:val="24"/>
          <w:szCs w:val="24"/>
          <w:highlight w:val="none"/>
          <w:lang w:val="en-US" w:eastAsia="zh-CN" w:bidi="ar-SA"/>
        </w:rPr>
        <w:t>约定结</w:t>
      </w:r>
      <w:r>
        <w:rPr>
          <w:rStyle w:val="62"/>
          <w:rFonts w:hint="eastAsia" w:ascii="仿宋" w:hAnsi="仿宋" w:eastAsia="仿宋" w:cs="仿宋"/>
          <w:b w:val="0"/>
          <w:bCs w:val="0"/>
          <w:color w:val="auto"/>
          <w:sz w:val="24"/>
          <w:highlight w:val="none"/>
          <w:lang w:val="en-US" w:eastAsia="zh-CN"/>
        </w:rPr>
        <w:t>算方式确定价款，经双方确认后据实结算。</w:t>
      </w:r>
    </w:p>
    <w:p w14:paraId="29C953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5.3市场价格调整方式：成交供应商供货期内，每月进行一次结算价格调整，调整机制如下：采购人每月不定期做市场价格质量调查，市场调查的渠道包括但不仅限于大型农贸市场、商超、网上生鲜商城等，依据市场调查结果制作价格统计表，依据市场价格调查结果制作价格统计表，并结合成交供应商每月提供的报价清单，制定当月合理市场价格，并在此基础上</w:t>
      </w:r>
      <w:r>
        <w:rPr>
          <w:rStyle w:val="62"/>
          <w:rFonts w:hint="eastAsia" w:ascii="仿宋" w:hAnsi="仿宋" w:eastAsia="仿宋" w:cs="仿宋"/>
          <w:b/>
          <w:bCs/>
          <w:color w:val="auto"/>
          <w:sz w:val="24"/>
          <w:highlight w:val="none"/>
          <w:lang w:val="en-US" w:eastAsia="zh-CN"/>
        </w:rPr>
        <w:t>进行下浮2%以及供应商报价下浮率</w:t>
      </w:r>
      <w:r>
        <w:rPr>
          <w:rStyle w:val="62"/>
          <w:rFonts w:hint="eastAsia" w:ascii="仿宋" w:hAnsi="仿宋" w:eastAsia="仿宋" w:cs="仿宋"/>
          <w:b w:val="0"/>
          <w:bCs w:val="0"/>
          <w:color w:val="auto"/>
          <w:sz w:val="24"/>
          <w:highlight w:val="none"/>
          <w:lang w:val="en-US" w:eastAsia="zh-CN"/>
        </w:rPr>
        <w:t>之后计算当月结算价格。</w:t>
      </w:r>
      <w:r>
        <w:rPr>
          <w:rStyle w:val="62"/>
          <w:rFonts w:hint="eastAsia" w:ascii="仿宋" w:hAnsi="仿宋" w:eastAsia="仿宋" w:cs="仿宋"/>
          <w:b/>
          <w:bCs/>
          <w:color w:val="auto"/>
          <w:sz w:val="24"/>
          <w:highlight w:val="none"/>
          <w:lang w:val="en-US" w:eastAsia="zh-CN"/>
        </w:rPr>
        <w:t>附件3参考价为2025年平均市场参考价、2026年2月市场参考价、2026年3月市场参考价、2026年4月市场参考价，未进行任何下浮，以上市场参考价需固定下浮2%并再次按供应商报价下浮率计算后进行结算，供应商须参照自身同一时期供应成本基准价格，合理测算后填报下浮率。</w:t>
      </w:r>
    </w:p>
    <w:p w14:paraId="204CCD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Style w:val="62"/>
          <w:rFonts w:hint="eastAsia" w:ascii="仿宋" w:hAnsi="仿宋" w:eastAsia="仿宋" w:cs="仿宋"/>
          <w:b/>
          <w:bCs/>
          <w:color w:val="auto"/>
          <w:sz w:val="24"/>
          <w:highlight w:val="none"/>
          <w:lang w:val="en-US" w:eastAsia="zh-CN"/>
        </w:rPr>
      </w:pPr>
      <w:r>
        <w:rPr>
          <w:rStyle w:val="62"/>
          <w:rFonts w:hint="eastAsia" w:ascii="仿宋" w:hAnsi="仿宋" w:eastAsia="仿宋" w:cs="仿宋"/>
          <w:b/>
          <w:bCs/>
          <w:color w:val="auto"/>
          <w:sz w:val="24"/>
          <w:highlight w:val="none"/>
          <w:lang w:val="en-US" w:eastAsia="zh-CN"/>
        </w:rPr>
        <w:t>例：序号4厨邦酱油10.5L 2026年3月合理市场参考单价为80元/瓶，供应商报价下浮率为1%，则2026年3月结算价格为80×（1-2%）×（1-1%)=77.616元/瓶，2026-2027年度供应期间每月合理市场价以采购人市场调查结果进行调整，固定下浮率2%以及供应商报价下浮率不再调整。</w:t>
      </w:r>
    </w:p>
    <w:p w14:paraId="2F00EC73">
      <w:pPr>
        <w:spacing w:line="360" w:lineRule="auto"/>
        <w:ind w:firstLine="480" w:firstLineChars="200"/>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color w:val="auto"/>
          <w:sz w:val="24"/>
          <w:highlight w:val="none"/>
          <w:lang w:val="en-US" w:eastAsia="zh-CN"/>
        </w:rPr>
        <w:t xml:space="preserve">5.4 </w:t>
      </w:r>
      <w:r>
        <w:rPr>
          <w:rStyle w:val="62"/>
          <w:rFonts w:hint="eastAsia" w:ascii="仿宋" w:hAnsi="仿宋" w:eastAsia="仿宋" w:cs="仿宋"/>
          <w:b w:val="0"/>
          <w:bCs w:val="0"/>
          <w:color w:val="auto"/>
          <w:sz w:val="24"/>
          <w:highlight w:val="none"/>
          <w:lang w:val="en-US" w:eastAsia="zh-CN"/>
        </w:rPr>
        <w:t>附件3参考价中所有产品细目的数量仅为年度预估数量，具体用量根据实际经营情况决定，</w:t>
      </w:r>
      <w:r>
        <w:rPr>
          <w:rStyle w:val="62"/>
          <w:rFonts w:hint="eastAsia" w:ascii="仿宋" w:hAnsi="仿宋" w:eastAsia="仿宋" w:cs="仿宋"/>
          <w:b/>
          <w:bCs/>
          <w:color w:val="auto"/>
          <w:sz w:val="24"/>
          <w:highlight w:val="none"/>
          <w:lang w:val="en-US" w:eastAsia="zh-CN"/>
        </w:rPr>
        <w:t>属于同大类产品、附件3参考价外的调料类产品，也需按5.3所述规则进行市场询价及下浮定价保障供应</w:t>
      </w:r>
      <w:r>
        <w:rPr>
          <w:rStyle w:val="62"/>
          <w:rFonts w:hint="eastAsia" w:ascii="仿宋" w:hAnsi="仿宋" w:eastAsia="仿宋" w:cs="仿宋"/>
          <w:b w:val="0"/>
          <w:bCs w:val="0"/>
          <w:color w:val="auto"/>
          <w:sz w:val="24"/>
          <w:highlight w:val="none"/>
          <w:lang w:val="en-US" w:eastAsia="zh-CN"/>
        </w:rPr>
        <w:t>，请各参与响应供应商严谨报价。</w:t>
      </w:r>
    </w:p>
    <w:p w14:paraId="4072BC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5.5 入围框架协议的</w:t>
      </w:r>
      <w:r>
        <w:rPr>
          <w:rFonts w:hint="eastAsia" w:ascii="仿宋" w:hAnsi="仿宋" w:eastAsia="仿宋" w:cs="仿宋"/>
          <w:b/>
          <w:bCs/>
          <w:color w:val="auto"/>
          <w:kern w:val="2"/>
          <w:sz w:val="24"/>
          <w:szCs w:val="24"/>
          <w:highlight w:val="none"/>
          <w:lang w:val="en-US" w:eastAsia="zh-CN" w:bidi="ar-SA"/>
        </w:rPr>
        <w:t>供应商按报价下浮率签订框架协议。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采购人从入围供应商按照报价下浮率由高到低的排名顺序选定供应商签订正式采购合同，排名靠前供应商享有优先签订正式采购合同权。</w:t>
      </w:r>
    </w:p>
    <w:p w14:paraId="17C2CC6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 xml:space="preserve">5.6 </w:t>
      </w: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r>
        <w:rPr>
          <w:rStyle w:val="62"/>
          <w:rFonts w:hint="eastAsia" w:ascii="仿宋" w:hAnsi="仿宋" w:eastAsia="仿宋" w:cs="仿宋"/>
          <w:b w:val="0"/>
          <w:bCs w:val="0"/>
          <w:color w:val="auto"/>
          <w:sz w:val="24"/>
          <w:highlight w:val="none"/>
          <w:lang w:val="en-US" w:eastAsia="zh-CN"/>
        </w:rPr>
        <w:t>。</w:t>
      </w:r>
    </w:p>
    <w:p w14:paraId="5F038E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4C59E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结算付款扣除</w:t>
      </w:r>
      <w:r>
        <w:rPr>
          <w:rStyle w:val="62"/>
          <w:rFonts w:hint="default" w:ascii="仿宋" w:hAnsi="仿宋" w:eastAsia="仿宋" w:cs="仿宋"/>
          <w:b w:val="0"/>
          <w:bCs w:val="0"/>
          <w:color w:val="auto"/>
          <w:sz w:val="24"/>
          <w:highlight w:val="none"/>
          <w:lang w:val="en-US" w:eastAsia="zh-CN"/>
        </w:rPr>
        <w:t>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（1+12%）=13.44元</w:t>
      </w:r>
    </w:p>
    <w:p w14:paraId="156A3D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78705A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（1+12%）=8.96元</w:t>
      </w:r>
    </w:p>
    <w:p w14:paraId="1CF173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29340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（1+12%）=6.72元</w:t>
      </w:r>
    </w:p>
    <w:p w14:paraId="4414B6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5BF5A7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（1+12%）=11.2元</w:t>
      </w:r>
    </w:p>
    <w:p w14:paraId="662177D5">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9" w:name="_Toc25275"/>
      <w:bookmarkStart w:id="40" w:name="_Toc17864"/>
      <w:r>
        <w:rPr>
          <w:rFonts w:hint="eastAsia" w:ascii="仿宋" w:hAnsi="仿宋" w:eastAsia="仿宋" w:cs="仿宋"/>
          <w:color w:val="auto"/>
          <w:sz w:val="28"/>
          <w:szCs w:val="28"/>
          <w:lang w:val="en-US" w:eastAsia="zh-CN"/>
        </w:rPr>
        <w:t>6.其他需说明的事项</w:t>
      </w:r>
      <w:bookmarkEnd w:id="39"/>
      <w:bookmarkEnd w:id="40"/>
    </w:p>
    <w:p w14:paraId="52FC97F0">
      <w:pPr>
        <w:pStyle w:val="63"/>
        <w:shd w:val="clear" w:color="auto" w:fill="FFFFFF"/>
        <w:snapToGrid/>
        <w:spacing w:line="360" w:lineRule="auto"/>
        <w:ind w:firstLine="480" w:firstLineChars="200"/>
        <w:jc w:val="left"/>
        <w:rPr>
          <w:rStyle w:val="62"/>
          <w:rFonts w:ascii="仿宋" w:hAnsi="仿宋" w:eastAsia="仿宋" w:cs="仿宋"/>
          <w:color w:val="auto"/>
          <w:sz w:val="24"/>
          <w:highlight w:val="none"/>
        </w:rPr>
      </w:pPr>
      <w:r>
        <w:rPr>
          <w:rStyle w:val="62"/>
          <w:rFonts w:hint="eastAsia" w:ascii="仿宋" w:hAnsi="仿宋" w:eastAsia="仿宋" w:cs="仿宋"/>
          <w:b w:val="0"/>
          <w:bCs w:val="0"/>
          <w:color w:val="auto"/>
          <w:sz w:val="24"/>
          <w:highlight w:val="none"/>
          <w:lang w:val="en-US" w:eastAsia="zh-CN"/>
        </w:rPr>
        <w:t>6.1供应商必须将响应文件装订成册，响应</w:t>
      </w:r>
      <w:r>
        <w:rPr>
          <w:rStyle w:val="62"/>
          <w:rFonts w:ascii="仿宋" w:hAnsi="仿宋" w:eastAsia="仿宋" w:cs="仿宋"/>
          <w:b w:val="0"/>
          <w:bCs w:val="0"/>
          <w:color w:val="auto"/>
          <w:sz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highlight w:val="none"/>
          <w:lang w:val="en-US" w:eastAsia="zh-CN"/>
        </w:rPr>
        <w:t>并且用文件袋进行密封，在封口处加盖公章。</w:t>
      </w:r>
    </w:p>
    <w:p w14:paraId="6CC68009">
      <w:pPr>
        <w:pStyle w:val="63"/>
        <w:shd w:val="clear" w:color="auto" w:fill="FFFFFF"/>
        <w:spacing w:line="360" w:lineRule="auto"/>
        <w:ind w:firstLine="480" w:firstLineChars="200"/>
        <w:jc w:val="left"/>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6.2响应供应商恶意低价报价导致未能诚信履约的，采购人将取消其供应资格，并没收其已缴纳的保证金。</w:t>
      </w:r>
    </w:p>
    <w:p w14:paraId="53676B69">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br w:type="page"/>
      </w:r>
    </w:p>
    <w:p w14:paraId="7D5CF864">
      <w:pPr>
        <w:pStyle w:val="2"/>
        <w:numPr>
          <w:ilvl w:val="0"/>
          <w:numId w:val="0"/>
        </w:numPr>
        <w:spacing w:before="200" w:after="200" w:line="560" w:lineRule="exact"/>
        <w:jc w:val="center"/>
        <w:rPr>
          <w:rFonts w:hint="eastAsia" w:ascii="仿宋" w:hAnsi="仿宋" w:eastAsia="仿宋" w:cs="仿宋"/>
          <w:color w:val="auto"/>
          <w:highlight w:val="none"/>
          <w:lang w:val="en-US" w:eastAsia="zh-CN"/>
        </w:rPr>
      </w:pPr>
      <w:bookmarkStart w:id="41" w:name="_Toc9346"/>
      <w:bookmarkStart w:id="42" w:name="_Toc9739"/>
      <w:r>
        <w:rPr>
          <w:rFonts w:hint="eastAsia" w:ascii="仿宋" w:hAnsi="仿宋" w:eastAsia="仿宋" w:cs="仿宋"/>
          <w:color w:val="auto"/>
          <w:highlight w:val="none"/>
          <w:lang w:val="en-US" w:eastAsia="zh-CN"/>
        </w:rPr>
        <w:t>第三章 评审办法</w:t>
      </w:r>
      <w:bookmarkEnd w:id="41"/>
      <w:bookmarkEnd w:id="42"/>
    </w:p>
    <w:p w14:paraId="72116D4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43" w:name="_Toc22978"/>
      <w:bookmarkStart w:id="44" w:name="_Toc6044"/>
      <w:bookmarkStart w:id="45" w:name="bookmark272"/>
      <w:bookmarkStart w:id="46" w:name="_Toc1993"/>
      <w:bookmarkStart w:id="47" w:name="bookmark270"/>
      <w:bookmarkStart w:id="48" w:name="_Toc15079_WPSOffice_Level3"/>
      <w:bookmarkStart w:id="49" w:name="_Toc24086"/>
      <w:bookmarkStart w:id="50" w:name="_Toc1201"/>
      <w:bookmarkStart w:id="51" w:name="_Toc17908"/>
      <w:bookmarkStart w:id="52" w:name="bookmark271"/>
      <w:bookmarkStart w:id="53" w:name="_Toc15065"/>
      <w:bookmarkStart w:id="54" w:name="_Toc2669"/>
      <w:r>
        <w:rPr>
          <w:rFonts w:hint="eastAsia" w:ascii="仿宋" w:hAnsi="仿宋" w:eastAsia="仿宋" w:cs="仿宋"/>
          <w:color w:val="auto"/>
          <w:sz w:val="28"/>
          <w:szCs w:val="28"/>
        </w:rPr>
        <w:t>1.评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办法</w:t>
      </w:r>
      <w:bookmarkEnd w:id="43"/>
      <w:bookmarkEnd w:id="44"/>
    </w:p>
    <w:p w14:paraId="3ED7A4BE">
      <w:pPr>
        <w:pStyle w:val="65"/>
        <w:tabs>
          <w:tab w:val="left" w:pos="1021"/>
        </w:tabs>
        <w:spacing w:line="360" w:lineRule="auto"/>
        <w:ind w:firstLine="480" w:firstLineChars="200"/>
        <w:rPr>
          <w:rFonts w:hint="eastAsia" w:ascii="仿宋" w:hAnsi="仿宋" w:eastAsia="仿宋" w:cs="仿宋"/>
          <w:color w:val="auto"/>
          <w:kern w:val="2"/>
          <w:sz w:val="24"/>
          <w:szCs w:val="24"/>
          <w:highlight w:val="none"/>
          <w:lang w:val="en-US" w:eastAsia="zh-CN" w:bidi="ar-SA"/>
        </w:rPr>
      </w:pPr>
      <w:bookmarkStart w:id="55" w:name="bookmark261"/>
      <w:r>
        <w:rPr>
          <w:rFonts w:hint="eastAsia" w:ascii="仿宋" w:hAnsi="仿宋" w:eastAsia="仿宋" w:cs="仿宋"/>
          <w:color w:val="auto"/>
          <w:sz w:val="24"/>
          <w:highlight w:val="none"/>
          <w:lang w:val="en-US"/>
        </w:rPr>
        <w:t>本次</w:t>
      </w:r>
      <w:r>
        <w:rPr>
          <w:rFonts w:hint="eastAsia" w:ascii="仿宋" w:hAnsi="仿宋" w:eastAsia="仿宋" w:cs="仿宋"/>
          <w:color w:val="auto"/>
          <w:sz w:val="24"/>
          <w:highlight w:val="none"/>
          <w:lang w:val="en-US" w:eastAsia="zh-CN"/>
        </w:rPr>
        <w:t>框架协议供应商入围征集评审</w:t>
      </w:r>
      <w:r>
        <w:rPr>
          <w:rFonts w:hint="eastAsia" w:ascii="仿宋" w:hAnsi="仿宋" w:eastAsia="仿宋" w:cs="仿宋"/>
          <w:color w:val="auto"/>
          <w:sz w:val="24"/>
          <w:highlight w:val="none"/>
          <w:lang w:val="en-US"/>
        </w:rPr>
        <w:t>采用</w:t>
      </w:r>
      <w:r>
        <w:rPr>
          <w:rFonts w:hint="eastAsia" w:ascii="仿宋" w:hAnsi="仿宋" w:eastAsia="仿宋" w:cs="仿宋"/>
          <w:color w:val="auto"/>
          <w:sz w:val="24"/>
          <w:highlight w:val="none"/>
          <w:lang w:val="en-US" w:eastAsia="zh-CN"/>
        </w:rPr>
        <w:t>低价评审</w:t>
      </w:r>
      <w:r>
        <w:rPr>
          <w:rFonts w:hint="eastAsia" w:ascii="仿宋" w:hAnsi="仿宋" w:eastAsia="仿宋" w:cs="仿宋"/>
          <w:color w:val="auto"/>
          <w:sz w:val="24"/>
          <w:highlight w:val="none"/>
          <w:lang w:val="en-US"/>
        </w:rPr>
        <w:t>法。确定</w:t>
      </w:r>
      <w:r>
        <w:rPr>
          <w:rFonts w:hint="eastAsia" w:ascii="仿宋" w:hAnsi="仿宋" w:eastAsia="仿宋" w:cs="仿宋"/>
          <w:color w:val="auto"/>
          <w:sz w:val="24"/>
          <w:highlight w:val="none"/>
          <w:lang w:val="en-US" w:eastAsia="zh-CN"/>
        </w:rPr>
        <w:t>初步评审</w:t>
      </w:r>
      <w:r>
        <w:rPr>
          <w:rFonts w:hint="eastAsia" w:ascii="仿宋" w:hAnsi="仿宋" w:eastAsia="仿宋" w:cs="仿宋"/>
          <w:color w:val="auto"/>
          <w:sz w:val="24"/>
          <w:highlight w:val="none"/>
          <w:lang w:val="en-US"/>
        </w:rPr>
        <w:t>入围</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时，提交响应文件和符合资格条件、实质性要求的</w:t>
      </w:r>
      <w:r>
        <w:rPr>
          <w:rFonts w:hint="eastAsia" w:ascii="仿宋" w:hAnsi="仿宋" w:eastAsia="仿宋" w:cs="仿宋"/>
          <w:color w:val="auto"/>
          <w:sz w:val="24"/>
          <w:highlight w:val="none"/>
          <w:lang w:val="en-US" w:eastAsia="zh-CN"/>
        </w:rPr>
        <w:t>响应单位</w:t>
      </w:r>
      <w:r>
        <w:rPr>
          <w:rFonts w:hint="eastAsia" w:ascii="仿宋" w:hAnsi="仿宋" w:eastAsia="仿宋" w:cs="仿宋"/>
          <w:color w:val="auto"/>
          <w:sz w:val="24"/>
          <w:highlight w:val="none"/>
          <w:lang w:val="en-US"/>
        </w:rPr>
        <w:t>应当均不少于2家。</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委员对</w:t>
      </w:r>
      <w:r>
        <w:rPr>
          <w:rFonts w:hint="eastAsia" w:ascii="仿宋" w:hAnsi="仿宋" w:eastAsia="仿宋" w:cs="仿宋"/>
          <w:color w:val="auto"/>
          <w:sz w:val="24"/>
          <w:highlight w:val="none"/>
          <w:lang w:val="en-US" w:eastAsia="zh-CN"/>
        </w:rPr>
        <w:t>已通过资格审查的响应单位进行价格评审</w:t>
      </w:r>
      <w:r>
        <w:rPr>
          <w:rFonts w:hint="eastAsia" w:ascii="仿宋" w:hAnsi="仿宋" w:eastAsia="仿宋" w:cs="仿宋"/>
          <w:color w:val="auto"/>
          <w:sz w:val="24"/>
          <w:highlight w:val="none"/>
          <w:lang w:val="en-US"/>
        </w:rPr>
        <w:t>，并按</w:t>
      </w:r>
      <w:r>
        <w:rPr>
          <w:rFonts w:hint="eastAsia" w:ascii="仿宋" w:hAnsi="仿宋" w:eastAsia="仿宋" w:cs="仿宋"/>
          <w:color w:val="auto"/>
          <w:sz w:val="24"/>
          <w:highlight w:val="none"/>
          <w:lang w:val="en-US" w:eastAsia="zh-CN"/>
        </w:rPr>
        <w:t>经过评审后的有效报价下浮率由高到低进行排序</w:t>
      </w:r>
      <w:r>
        <w:rPr>
          <w:rFonts w:hint="eastAsia" w:ascii="仿宋" w:hAnsi="仿宋" w:eastAsia="仿宋" w:cs="仿宋"/>
          <w:color w:val="auto"/>
          <w:sz w:val="24"/>
          <w:highlight w:val="none"/>
          <w:lang w:val="en-US"/>
        </w:rPr>
        <w:t>，淘汰比例为20%，且至少淘汰一家</w:t>
      </w:r>
      <w:r>
        <w:rPr>
          <w:rFonts w:hint="eastAsia" w:ascii="仿宋" w:hAnsi="仿宋" w:eastAsia="仿宋" w:cs="仿宋"/>
          <w:color w:val="auto"/>
          <w:sz w:val="24"/>
          <w:highlight w:val="none"/>
          <w:lang w:val="en-US" w:eastAsia="zh-CN"/>
        </w:rPr>
        <w:t>响应单位，剩余响应单位作为入围供应商，与采购人签订框架协议</w:t>
      </w:r>
      <w:r>
        <w:rPr>
          <w:rFonts w:hint="eastAsia" w:ascii="仿宋" w:hAnsi="仿宋" w:eastAsia="仿宋" w:cs="仿宋"/>
          <w:color w:val="auto"/>
          <w:sz w:val="24"/>
          <w:highlight w:val="none"/>
          <w:lang w:val="en-US"/>
        </w:rPr>
        <w:t>。采购人从入围</w:t>
      </w:r>
      <w:r>
        <w:rPr>
          <w:rFonts w:hint="eastAsia" w:ascii="仿宋" w:hAnsi="仿宋" w:eastAsia="仿宋" w:cs="仿宋"/>
          <w:color w:val="auto"/>
          <w:sz w:val="24"/>
          <w:highlight w:val="none"/>
          <w:lang w:val="en-US" w:eastAsia="zh-CN"/>
        </w:rPr>
        <w:t>供应商中</w:t>
      </w:r>
      <w:r>
        <w:rPr>
          <w:rFonts w:hint="eastAsia" w:ascii="仿宋" w:hAnsi="仿宋" w:eastAsia="仿宋" w:cs="仿宋"/>
          <w:color w:val="auto"/>
          <w:sz w:val="24"/>
          <w:highlight w:val="none"/>
          <w:lang w:val="en-US"/>
        </w:rPr>
        <w:t>按照报价下浮率由高到低的排名顺序选定</w:t>
      </w:r>
      <w:r>
        <w:rPr>
          <w:rFonts w:hint="eastAsia" w:ascii="仿宋" w:hAnsi="仿宋" w:eastAsia="仿宋" w:cs="仿宋"/>
          <w:color w:val="auto"/>
          <w:sz w:val="24"/>
          <w:highlight w:val="none"/>
          <w:lang w:val="en-US" w:eastAsia="zh-CN"/>
        </w:rPr>
        <w:t>一名供应商</w:t>
      </w:r>
      <w:r>
        <w:rPr>
          <w:rFonts w:hint="eastAsia" w:ascii="仿宋" w:hAnsi="仿宋" w:eastAsia="仿宋" w:cs="仿宋"/>
          <w:color w:val="auto"/>
          <w:sz w:val="24"/>
          <w:highlight w:val="none"/>
          <w:lang w:val="en-US"/>
        </w:rPr>
        <w:t>签订正式采购合同，排名靠前</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享有优先签订正式采购合同权。</w:t>
      </w:r>
    </w:p>
    <w:bookmarkEnd w:id="55"/>
    <w:p w14:paraId="0BA14E6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56" w:name="_Toc30068"/>
      <w:bookmarkStart w:id="57" w:name="_Toc16808"/>
      <w:bookmarkStart w:id="58" w:name="_Toc31478"/>
      <w:bookmarkStart w:id="59" w:name="_Toc8454"/>
      <w:bookmarkStart w:id="60" w:name="bookmark262"/>
      <w:bookmarkStart w:id="61" w:name="_Toc4220_WPSOffice_Level3"/>
      <w:bookmarkStart w:id="62" w:name="bookmark263"/>
      <w:bookmarkStart w:id="63" w:name="_Toc22747"/>
      <w:bookmarkStart w:id="64" w:name="_Toc24697"/>
      <w:bookmarkStart w:id="65" w:name="_Toc12940"/>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初步评审</w:t>
      </w:r>
      <w:bookmarkEnd w:id="56"/>
      <w:bookmarkEnd w:id="57"/>
      <w:bookmarkEnd w:id="58"/>
      <w:bookmarkEnd w:id="59"/>
      <w:bookmarkEnd w:id="60"/>
      <w:bookmarkEnd w:id="61"/>
      <w:bookmarkEnd w:id="62"/>
      <w:bookmarkEnd w:id="63"/>
      <w:bookmarkEnd w:id="64"/>
      <w:bookmarkEnd w:id="65"/>
    </w:p>
    <w:p w14:paraId="5C7146C9">
      <w:pPr>
        <w:pStyle w:val="65"/>
        <w:tabs>
          <w:tab w:val="left" w:pos="1021"/>
        </w:tabs>
        <w:spacing w:line="360" w:lineRule="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rPr>
        <w:t>形式</w:t>
      </w:r>
      <w:r>
        <w:rPr>
          <w:rFonts w:hint="eastAsia" w:ascii="仿宋" w:hAnsi="仿宋" w:eastAsia="仿宋" w:cs="仿宋"/>
          <w:color w:val="auto"/>
          <w:sz w:val="24"/>
          <w:highlight w:val="none"/>
          <w:lang w:val="en-US" w:eastAsia="zh-CN"/>
        </w:rPr>
        <w:t>、资格</w:t>
      </w:r>
      <w:r>
        <w:rPr>
          <w:rFonts w:hint="eastAsia" w:ascii="仿宋" w:hAnsi="仿宋" w:eastAsia="仿宋" w:cs="仿宋"/>
          <w:color w:val="auto"/>
          <w:sz w:val="24"/>
          <w:highlight w:val="none"/>
          <w:lang w:val="en-US"/>
        </w:rPr>
        <w:t>评审标准</w:t>
      </w:r>
      <w:r>
        <w:rPr>
          <w:rFonts w:hint="eastAsia" w:ascii="仿宋" w:hAnsi="仿宋" w:eastAsia="仿宋" w:cs="仿宋"/>
          <w:color w:val="auto"/>
          <w:sz w:val="24"/>
          <w:highlight w:val="none"/>
          <w:lang w:val="en-US" w:eastAsia="zh-CN"/>
        </w:rPr>
        <w:t>如下</w:t>
      </w:r>
      <w:r>
        <w:rPr>
          <w:rFonts w:hint="eastAsia" w:ascii="仿宋" w:hAnsi="仿宋" w:eastAsia="仿宋" w:cs="仿宋"/>
          <w:color w:val="auto"/>
          <w:sz w:val="24"/>
          <w:highlight w:val="none"/>
          <w:lang w:val="en-US"/>
        </w:rPr>
        <w:t>：</w:t>
      </w:r>
    </w:p>
    <w:tbl>
      <w:tblPr>
        <w:tblStyle w:val="23"/>
        <w:tblW w:w="8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5"/>
        <w:gridCol w:w="2477"/>
        <w:gridCol w:w="4776"/>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985" w:type="dxa"/>
            <w:shd w:val="clear" w:color="auto" w:fill="FFFFFF"/>
            <w:vAlign w:val="center"/>
          </w:tcPr>
          <w:p w14:paraId="038B4F3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lang w:val="en-US"/>
              </w:rPr>
              <w:t>内容</w:t>
            </w:r>
          </w:p>
        </w:tc>
        <w:tc>
          <w:tcPr>
            <w:tcW w:w="2477" w:type="dxa"/>
            <w:shd w:val="clear" w:color="auto" w:fill="FFFFFF"/>
            <w:vAlign w:val="center"/>
          </w:tcPr>
          <w:p w14:paraId="136A0FF9">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评审因素</w:t>
            </w:r>
          </w:p>
        </w:tc>
        <w:tc>
          <w:tcPr>
            <w:tcW w:w="4776" w:type="dxa"/>
            <w:shd w:val="clear" w:color="auto" w:fill="FFFFFF"/>
            <w:vAlign w:val="center"/>
          </w:tcPr>
          <w:p w14:paraId="2F0A2D9C">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85" w:type="dxa"/>
            <w:vMerge w:val="restart"/>
            <w:shd w:val="clear" w:color="auto" w:fill="FFFFFF"/>
            <w:vAlign w:val="center"/>
          </w:tcPr>
          <w:p w14:paraId="758FC061">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形式评审</w:t>
            </w:r>
          </w:p>
          <w:p w14:paraId="5778A7C0">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76AA770B">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w:t>
            </w:r>
            <w:r>
              <w:rPr>
                <w:rStyle w:val="62"/>
                <w:rFonts w:hint="eastAsia" w:ascii="仿宋" w:hAnsi="仿宋" w:eastAsia="仿宋" w:cs="仿宋"/>
                <w:color w:val="auto"/>
                <w:sz w:val="24"/>
                <w:highlight w:val="none"/>
              </w:rPr>
              <w:t>名称</w:t>
            </w:r>
          </w:p>
        </w:tc>
        <w:tc>
          <w:tcPr>
            <w:tcW w:w="4776" w:type="dxa"/>
            <w:shd w:val="clear" w:color="auto" w:fill="FFFFFF"/>
            <w:vAlign w:val="center"/>
          </w:tcPr>
          <w:p w14:paraId="548DBF0B">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985" w:type="dxa"/>
            <w:vMerge w:val="continue"/>
            <w:shd w:val="clear" w:color="auto" w:fill="FFFFFF"/>
            <w:vAlign w:val="center"/>
          </w:tcPr>
          <w:p w14:paraId="33E7905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D13B766">
            <w:pPr>
              <w:pStyle w:val="63"/>
              <w:spacing w:after="18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报价</w:t>
            </w:r>
            <w:r>
              <w:rPr>
                <w:rStyle w:val="62"/>
                <w:rFonts w:hint="eastAsia" w:ascii="仿宋" w:hAnsi="仿宋" w:eastAsia="仿宋" w:cs="仿宋"/>
                <w:color w:val="auto"/>
                <w:sz w:val="24"/>
                <w:highlight w:val="none"/>
              </w:rPr>
              <w:t>函</w:t>
            </w:r>
            <w:r>
              <w:rPr>
                <w:rStyle w:val="62"/>
                <w:rFonts w:hint="eastAsia" w:ascii="仿宋" w:hAnsi="仿宋" w:eastAsia="仿宋" w:cs="仿宋"/>
                <w:color w:val="auto"/>
                <w:sz w:val="24"/>
                <w:highlight w:val="none"/>
                <w:lang w:val="en-US"/>
              </w:rPr>
              <w:t>及附件清单</w:t>
            </w:r>
            <w:r>
              <w:rPr>
                <w:rStyle w:val="62"/>
                <w:rFonts w:hint="eastAsia" w:ascii="仿宋" w:hAnsi="仿宋" w:eastAsia="仿宋" w:cs="仿宋"/>
                <w:color w:val="auto"/>
                <w:sz w:val="24"/>
                <w:highlight w:val="none"/>
              </w:rPr>
              <w:t>签名盖章</w:t>
            </w:r>
          </w:p>
        </w:tc>
        <w:tc>
          <w:tcPr>
            <w:tcW w:w="4776" w:type="dxa"/>
            <w:shd w:val="clear" w:color="auto" w:fill="FFFFFF"/>
            <w:vAlign w:val="center"/>
          </w:tcPr>
          <w:p w14:paraId="709016C2">
            <w:pPr>
              <w:pStyle w:val="63"/>
              <w:spacing w:line="445"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有</w:t>
            </w:r>
            <w:r>
              <w:rPr>
                <w:rStyle w:val="62"/>
                <w:rFonts w:hint="eastAsia" w:ascii="仿宋" w:hAnsi="仿宋" w:eastAsia="仿宋" w:cs="仿宋"/>
                <w:color w:val="auto"/>
                <w:sz w:val="24"/>
                <w:highlight w:val="none"/>
              </w:rPr>
              <w:t>法定代表人或其委托代理人签名或加盖单位</w:t>
            </w:r>
            <w:r>
              <w:rPr>
                <w:rStyle w:val="62"/>
                <w:rFonts w:hint="eastAsia" w:ascii="仿宋" w:hAnsi="仿宋" w:eastAsia="仿宋" w:cs="仿宋"/>
                <w:color w:val="auto"/>
                <w:sz w:val="24"/>
                <w:highlight w:val="none"/>
                <w:lang w:val="en-US"/>
              </w:rPr>
              <w:t>公</w:t>
            </w:r>
            <w:r>
              <w:rPr>
                <w:rStyle w:val="62"/>
                <w:rFonts w:hint="eastAsia" w:ascii="仿宋" w:hAnsi="仿宋" w:eastAsia="仿宋" w:cs="仿宋"/>
                <w:color w:val="auto"/>
                <w:sz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2ABFE7C7">
            <w:pPr>
              <w:pStyle w:val="63"/>
              <w:spacing w:line="445" w:lineRule="exact"/>
              <w:ind w:firstLine="0"/>
              <w:rPr>
                <w:rFonts w:hint="eastAsia" w:ascii="仿宋" w:hAnsi="仿宋" w:eastAsia="仿宋" w:cs="仿宋"/>
                <w:color w:val="auto"/>
                <w:sz w:val="24"/>
                <w:highlight w:val="none"/>
              </w:rPr>
            </w:pPr>
          </w:p>
        </w:tc>
        <w:tc>
          <w:tcPr>
            <w:tcW w:w="2477" w:type="dxa"/>
            <w:shd w:val="clear" w:color="auto" w:fill="FFFFFF"/>
            <w:vAlign w:val="center"/>
          </w:tcPr>
          <w:p w14:paraId="538A5B9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w:t>
            </w:r>
          </w:p>
        </w:tc>
        <w:tc>
          <w:tcPr>
            <w:tcW w:w="4776" w:type="dxa"/>
            <w:shd w:val="clear" w:color="auto" w:fill="FFFFFF"/>
            <w:vAlign w:val="center"/>
          </w:tcPr>
          <w:p w14:paraId="0C7E0E5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985" w:type="dxa"/>
            <w:vMerge w:val="restart"/>
            <w:shd w:val="clear" w:color="auto" w:fill="FFFFFF"/>
            <w:vAlign w:val="center"/>
          </w:tcPr>
          <w:p w14:paraId="233C1645">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资格评审</w:t>
            </w:r>
          </w:p>
          <w:p w14:paraId="166939D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382F3231">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营业执照</w:t>
            </w:r>
          </w:p>
        </w:tc>
        <w:tc>
          <w:tcPr>
            <w:tcW w:w="4776" w:type="dxa"/>
            <w:shd w:val="clear" w:color="auto" w:fill="FFFFFF"/>
            <w:vAlign w:val="center"/>
          </w:tcPr>
          <w:p w14:paraId="401F7B0E">
            <w:pPr>
              <w:pStyle w:val="63"/>
              <w:spacing w:line="46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3.1</w:t>
            </w:r>
            <w:r>
              <w:rPr>
                <w:rStyle w:val="62"/>
                <w:rFonts w:hint="eastAsia" w:ascii="仿宋" w:hAnsi="仿宋" w:eastAsia="仿宋" w:cs="仿宋"/>
                <w:color w:val="auto"/>
                <w:sz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706FB516">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10CDAFDF">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财务要求</w:t>
            </w:r>
          </w:p>
        </w:tc>
        <w:tc>
          <w:tcPr>
            <w:tcW w:w="4776" w:type="dxa"/>
            <w:shd w:val="clear" w:color="auto" w:fill="FFFFFF"/>
            <w:vAlign w:val="center"/>
          </w:tcPr>
          <w:p w14:paraId="4FBF26E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3.2</w:t>
            </w:r>
            <w:r>
              <w:rPr>
                <w:rStyle w:val="62"/>
                <w:rFonts w:hint="eastAsia" w:ascii="仿宋" w:hAnsi="仿宋" w:eastAsia="仿宋" w:cs="仿宋"/>
                <w:color w:val="auto"/>
                <w:sz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40E4EB3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70CAF57D">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业绩要求</w:t>
            </w:r>
          </w:p>
        </w:tc>
        <w:tc>
          <w:tcPr>
            <w:tcW w:w="4776" w:type="dxa"/>
            <w:shd w:val="clear" w:color="auto" w:fill="FFFFFF"/>
            <w:vAlign w:val="center"/>
          </w:tcPr>
          <w:p w14:paraId="61DB19C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3.3</w:t>
            </w:r>
            <w:r>
              <w:rPr>
                <w:rStyle w:val="62"/>
                <w:rFonts w:hint="eastAsia" w:ascii="仿宋" w:hAnsi="仿宋" w:eastAsia="仿宋" w:cs="仿宋"/>
                <w:color w:val="auto"/>
                <w:sz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0FF2C9A2">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644AF52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信誉要求</w:t>
            </w:r>
          </w:p>
        </w:tc>
        <w:tc>
          <w:tcPr>
            <w:tcW w:w="4776" w:type="dxa"/>
            <w:shd w:val="clear" w:color="auto" w:fill="FFFFFF"/>
            <w:vAlign w:val="center"/>
          </w:tcPr>
          <w:p w14:paraId="012C85B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3.4</w:t>
            </w:r>
            <w:r>
              <w:rPr>
                <w:rStyle w:val="62"/>
                <w:rFonts w:hint="eastAsia" w:ascii="仿宋" w:hAnsi="仿宋" w:eastAsia="仿宋" w:cs="仿宋"/>
                <w:color w:val="auto"/>
                <w:sz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985" w:type="dxa"/>
            <w:vMerge w:val="continue"/>
            <w:shd w:val="clear" w:color="auto" w:fill="FFFFFF"/>
          </w:tcPr>
          <w:p w14:paraId="4625B61A">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7413445">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其他要求</w:t>
            </w:r>
          </w:p>
        </w:tc>
        <w:tc>
          <w:tcPr>
            <w:tcW w:w="4776" w:type="dxa"/>
            <w:shd w:val="clear" w:color="auto" w:fill="FFFFFF"/>
            <w:vAlign w:val="bottom"/>
          </w:tcPr>
          <w:p w14:paraId="2DBD3C2F">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3.5及3.6</w:t>
            </w:r>
            <w:r>
              <w:rPr>
                <w:rStyle w:val="62"/>
                <w:rFonts w:hint="eastAsia" w:ascii="仿宋" w:hAnsi="仿宋" w:eastAsia="仿宋" w:cs="仿宋"/>
                <w:color w:val="auto"/>
                <w:sz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exact"/>
          <w:jc w:val="center"/>
        </w:trPr>
        <w:tc>
          <w:tcPr>
            <w:tcW w:w="985" w:type="dxa"/>
            <w:vMerge w:val="continue"/>
            <w:shd w:val="clear" w:color="auto" w:fill="FFFFFF"/>
          </w:tcPr>
          <w:p w14:paraId="54510A29">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0393AFEA">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响应单位不得存在</w:t>
            </w:r>
            <w:r>
              <w:rPr>
                <w:rStyle w:val="62"/>
                <w:rFonts w:hint="eastAsia" w:ascii="仿宋" w:hAnsi="仿宋" w:eastAsia="仿宋" w:cs="仿宋"/>
                <w:color w:val="auto"/>
                <w:sz w:val="24"/>
                <w:highlight w:val="none"/>
              </w:rPr>
              <w:t>的情形</w:t>
            </w:r>
          </w:p>
        </w:tc>
        <w:tc>
          <w:tcPr>
            <w:tcW w:w="4776" w:type="dxa"/>
            <w:shd w:val="clear" w:color="auto" w:fill="FFFFFF"/>
            <w:vAlign w:val="bottom"/>
          </w:tcPr>
          <w:p w14:paraId="27463B92">
            <w:pPr>
              <w:pStyle w:val="63"/>
              <w:spacing w:line="45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不存在第二章“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4</w:t>
            </w:r>
            <w:r>
              <w:rPr>
                <w:rStyle w:val="62"/>
                <w:rFonts w:hint="eastAsia" w:ascii="仿宋" w:hAnsi="仿宋" w:eastAsia="仿宋" w:cs="仿宋"/>
                <w:color w:val="auto"/>
                <w:sz w:val="24"/>
                <w:highlight w:val="none"/>
              </w:rPr>
              <w:t>项规定的任何一种情形</w:t>
            </w:r>
          </w:p>
        </w:tc>
      </w:tr>
    </w:tbl>
    <w:p w14:paraId="0E297AC3">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6" w:name="_Toc627"/>
      <w:bookmarkStart w:id="67" w:name="_Toc24261"/>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价格</w:t>
      </w:r>
      <w:r>
        <w:rPr>
          <w:rFonts w:hint="eastAsia" w:ascii="仿宋" w:hAnsi="仿宋" w:eastAsia="仿宋" w:cs="仿宋"/>
          <w:color w:val="auto"/>
          <w:sz w:val="28"/>
          <w:szCs w:val="28"/>
        </w:rPr>
        <w:t>评审</w:t>
      </w:r>
      <w:bookmarkEnd w:id="66"/>
      <w:bookmarkEnd w:id="67"/>
    </w:p>
    <w:p w14:paraId="405D7AF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62EACAC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738DFE8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8" w:name="_Toc16175"/>
      <w:bookmarkStart w:id="69" w:name="_Toc24803"/>
      <w:r>
        <w:rPr>
          <w:rFonts w:hint="eastAsia" w:ascii="仿宋" w:hAnsi="仿宋" w:eastAsia="仿宋" w:cs="仿宋"/>
          <w:color w:val="auto"/>
          <w:sz w:val="28"/>
          <w:szCs w:val="28"/>
          <w:lang w:val="en-US" w:eastAsia="zh-CN"/>
        </w:rPr>
        <w:t>4.评审</w:t>
      </w:r>
      <w:r>
        <w:rPr>
          <w:rFonts w:hint="eastAsia" w:ascii="仿宋" w:hAnsi="仿宋" w:eastAsia="仿宋" w:cs="仿宋"/>
          <w:color w:val="auto"/>
          <w:sz w:val="28"/>
          <w:szCs w:val="28"/>
        </w:rPr>
        <w:t>结果</w:t>
      </w:r>
      <w:bookmarkEnd w:id="68"/>
      <w:bookmarkEnd w:id="69"/>
    </w:p>
    <w:p w14:paraId="6A0199C6">
      <w:pPr>
        <w:pStyle w:val="65"/>
        <w:tabs>
          <w:tab w:val="left" w:pos="1034"/>
        </w:tabs>
        <w:spacing w:line="360" w:lineRule="auto"/>
        <w:ind w:firstLine="442"/>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由评审</w:t>
      </w:r>
      <w:r>
        <w:rPr>
          <w:rFonts w:hint="eastAsia" w:ascii="仿宋" w:hAnsi="仿宋" w:eastAsia="仿宋" w:cs="仿宋"/>
          <w:color w:val="auto"/>
          <w:sz w:val="24"/>
          <w:highlight w:val="none"/>
          <w:lang w:val="en-US"/>
        </w:rPr>
        <w:t>委员</w:t>
      </w:r>
      <w:r>
        <w:rPr>
          <w:rFonts w:hint="eastAsia" w:ascii="仿宋" w:hAnsi="仿宋" w:eastAsia="仿宋" w:cs="仿宋"/>
          <w:color w:val="auto"/>
          <w:sz w:val="24"/>
          <w:highlight w:val="none"/>
          <w:lang w:val="en-US" w:eastAsia="zh-CN"/>
        </w:rPr>
        <w:t>组成的评审小组，</w:t>
      </w:r>
      <w:r>
        <w:rPr>
          <w:rFonts w:hint="eastAsia" w:ascii="仿宋" w:hAnsi="仿宋" w:eastAsia="仿宋" w:cs="仿宋"/>
          <w:color w:val="auto"/>
          <w:sz w:val="24"/>
          <w:highlight w:val="none"/>
          <w:lang w:val="en-US"/>
        </w:rPr>
        <w:t>完成</w:t>
      </w:r>
      <w:r>
        <w:rPr>
          <w:rFonts w:hint="eastAsia" w:ascii="仿宋" w:hAnsi="仿宋" w:eastAsia="仿宋" w:cs="仿宋"/>
          <w:color w:val="auto"/>
          <w:sz w:val="24"/>
          <w:highlight w:val="none"/>
          <w:lang w:val="en-US" w:eastAsia="zh-CN"/>
        </w:rPr>
        <w:t>初步评审、价格评审</w:t>
      </w:r>
      <w:r>
        <w:rPr>
          <w:rFonts w:hint="eastAsia" w:ascii="仿宋" w:hAnsi="仿宋" w:eastAsia="仿宋" w:cs="仿宋"/>
          <w:color w:val="auto"/>
          <w:sz w:val="24"/>
          <w:highlight w:val="none"/>
          <w:lang w:val="en-US"/>
        </w:rPr>
        <w:t>后，向</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lang w:val="en-US"/>
        </w:rPr>
        <w:t>人提交书面</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报告和入围框架协议</w:t>
      </w:r>
      <w:r>
        <w:rPr>
          <w:rFonts w:hint="eastAsia" w:ascii="仿宋" w:hAnsi="仿宋" w:eastAsia="仿宋" w:cs="仿宋"/>
          <w:color w:val="auto"/>
          <w:sz w:val="24"/>
          <w:highlight w:val="none"/>
          <w:lang w:val="en-US" w:eastAsia="zh-CN"/>
        </w:rPr>
        <w:t>供应商名单</w:t>
      </w:r>
      <w:r>
        <w:rPr>
          <w:rFonts w:hint="eastAsia" w:ascii="仿宋" w:hAnsi="仿宋" w:eastAsia="仿宋" w:cs="仿宋"/>
          <w:color w:val="auto"/>
          <w:sz w:val="24"/>
          <w:highlight w:val="none"/>
          <w:lang w:val="en-US"/>
        </w:rPr>
        <w:t>。</w:t>
      </w:r>
    </w:p>
    <w:bookmarkEnd w:id="45"/>
    <w:bookmarkEnd w:id="46"/>
    <w:bookmarkEnd w:id="47"/>
    <w:bookmarkEnd w:id="48"/>
    <w:bookmarkEnd w:id="49"/>
    <w:bookmarkEnd w:id="50"/>
    <w:bookmarkEnd w:id="51"/>
    <w:bookmarkEnd w:id="52"/>
    <w:bookmarkEnd w:id="53"/>
    <w:bookmarkEnd w:id="54"/>
    <w:p w14:paraId="318AFC6B">
      <w:pPr>
        <w:bidi w:val="0"/>
        <w:rPr>
          <w:rFonts w:hint="eastAsia"/>
        </w:rPr>
      </w:pPr>
      <w:r>
        <w:rPr>
          <w:rFonts w:hint="eastAsia"/>
        </w:rPr>
        <w:br w:type="page"/>
      </w:r>
    </w:p>
    <w:p w14:paraId="35254E85">
      <w:pPr>
        <w:pStyle w:val="2"/>
        <w:numPr>
          <w:ilvl w:val="0"/>
          <w:numId w:val="0"/>
        </w:numPr>
        <w:spacing w:before="200" w:after="200" w:line="560" w:lineRule="exact"/>
        <w:jc w:val="center"/>
        <w:rPr>
          <w:rFonts w:hint="eastAsia" w:ascii="仿宋" w:hAnsi="仿宋" w:eastAsia="仿宋" w:cs="仿宋"/>
          <w:color w:val="auto"/>
          <w:highlight w:val="none"/>
        </w:rPr>
      </w:pPr>
      <w:bookmarkStart w:id="70" w:name="_Toc1097"/>
      <w:bookmarkStart w:id="71" w:name="_Toc6692"/>
      <w:r>
        <w:rPr>
          <w:rFonts w:hint="eastAsia" w:ascii="仿宋" w:hAnsi="仿宋" w:eastAsia="仿宋" w:cs="仿宋"/>
          <w:color w:val="auto"/>
          <w:highlight w:val="none"/>
        </w:rPr>
        <w:t>第</w:t>
      </w:r>
      <w:r>
        <w:rPr>
          <w:rFonts w:hint="eastAsia" w:ascii="仿宋" w:hAnsi="仿宋" w:eastAsia="仿宋" w:cs="仿宋"/>
          <w:color w:val="auto"/>
          <w:highlight w:val="none"/>
          <w:lang w:val="en-US" w:eastAsia="zh-CN"/>
        </w:rPr>
        <w:t>四</w:t>
      </w:r>
      <w:r>
        <w:rPr>
          <w:rFonts w:hint="eastAsia" w:ascii="仿宋" w:hAnsi="仿宋" w:eastAsia="仿宋" w:cs="仿宋"/>
          <w:color w:val="auto"/>
          <w:highlight w:val="none"/>
        </w:rPr>
        <w:t>章</w:t>
      </w:r>
      <w:r>
        <w:rPr>
          <w:rFonts w:hint="eastAsia" w:ascii="仿宋" w:hAnsi="仿宋" w:eastAsia="仿宋" w:cs="仿宋"/>
          <w:color w:val="auto"/>
          <w:highlight w:val="none"/>
          <w:lang w:val="en-US" w:eastAsia="zh-CN"/>
        </w:rPr>
        <w:t xml:space="preserve"> 响应</w:t>
      </w:r>
      <w:r>
        <w:rPr>
          <w:rFonts w:hint="eastAsia" w:ascii="仿宋" w:hAnsi="仿宋" w:eastAsia="仿宋" w:cs="仿宋"/>
          <w:color w:val="auto"/>
          <w:highlight w:val="none"/>
        </w:rPr>
        <w:t>文件格式</w:t>
      </w:r>
      <w:bookmarkEnd w:id="70"/>
      <w:bookmarkEnd w:id="71"/>
    </w:p>
    <w:p w14:paraId="439A18C5">
      <w:pPr>
        <w:jc w:val="right"/>
        <w:rPr>
          <w:rFonts w:hint="default" w:eastAsia="宋体"/>
          <w:lang w:val="en-US" w:eastAsia="zh-CN"/>
        </w:rPr>
      </w:pPr>
      <w:r>
        <w:rPr>
          <w:rFonts w:hint="eastAsia"/>
          <w:lang w:val="en-US" w:eastAsia="zh-CN"/>
        </w:rPr>
        <w:t>（正本    副本）</w:t>
      </w:r>
    </w:p>
    <w:p w14:paraId="42C3198B">
      <w:pPr>
        <w:shd w:val="clear" w:color="auto" w:fill="FFFFFF"/>
        <w:spacing w:line="460" w:lineRule="exact"/>
        <w:jc w:val="right"/>
        <w:rPr>
          <w:rFonts w:hint="eastAsia" w:ascii="仿宋" w:hAnsi="仿宋" w:eastAsia="仿宋" w:cs="仿宋"/>
          <w:b/>
          <w:color w:val="auto"/>
          <w:sz w:val="30"/>
          <w:highlight w:val="none"/>
        </w:rPr>
      </w:pPr>
      <w:r>
        <w:rPr>
          <w:rFonts w:hint="eastAsia" w:ascii="仿宋" w:hAnsi="仿宋" w:eastAsia="仿宋" w:cs="仿宋"/>
          <w:color w:val="auto"/>
          <w:sz w:val="30"/>
          <w:highlight w:val="none"/>
        </w:rPr>
        <w:t>　　</w:t>
      </w:r>
    </w:p>
    <w:p w14:paraId="15016A2E">
      <w:pPr>
        <w:pStyle w:val="7"/>
        <w:rPr>
          <w:rFonts w:hint="eastAsia" w:ascii="仿宋" w:hAnsi="仿宋" w:eastAsia="仿宋" w:cs="仿宋"/>
          <w:color w:val="auto"/>
          <w:highlight w:val="none"/>
        </w:rPr>
      </w:pPr>
    </w:p>
    <w:p w14:paraId="1AB34B93">
      <w:pPr>
        <w:jc w:val="center"/>
        <w:rPr>
          <w:rFonts w:hint="eastAsia" w:ascii="仿宋" w:hAnsi="仿宋" w:eastAsia="仿宋" w:cs="仿宋"/>
          <w:b/>
          <w:bCs/>
          <w:color w:val="auto"/>
          <w:sz w:val="56"/>
          <w:szCs w:val="56"/>
          <w:highlight w:val="none"/>
        </w:rPr>
      </w:pPr>
    </w:p>
    <w:p w14:paraId="1552BE02">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u w:val="single"/>
          <w:lang w:val="en-US" w:eastAsia="zh-CN"/>
        </w:rPr>
        <w:t>赣州景区建设运营有限公司调料类产品2026-2027年度框架协议</w:t>
      </w: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u w:val="single"/>
          <w:lang w:val="en-US" w:eastAsia="zh-CN"/>
        </w:rPr>
        <w:t>供应商入围征集</w:t>
      </w:r>
      <w:r>
        <w:rPr>
          <w:rFonts w:hint="eastAsia" w:ascii="仿宋" w:hAnsi="仿宋" w:eastAsia="仿宋" w:cs="仿宋"/>
          <w:b/>
          <w:bCs/>
          <w:color w:val="auto"/>
          <w:sz w:val="28"/>
          <w:szCs w:val="28"/>
          <w:highlight w:val="none"/>
          <w:u w:val="single"/>
        </w:rPr>
        <w:t>项目</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8"/>
          <w:szCs w:val="48"/>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lang w:val="en-US" w:eastAsia="zh-CN"/>
        </w:rPr>
        <w:t>响 应</w:t>
      </w:r>
      <w:r>
        <w:rPr>
          <w:rFonts w:hint="eastAsia" w:ascii="仿宋" w:hAnsi="仿宋" w:eastAsia="仿宋" w:cs="仿宋"/>
          <w:b/>
          <w:bCs/>
          <w:color w:val="auto"/>
          <w:sz w:val="44"/>
          <w:szCs w:val="44"/>
          <w:highlight w:val="none"/>
        </w:rPr>
        <w:t xml:space="preserve"> 文 件</w:t>
      </w:r>
    </w:p>
    <w:p w14:paraId="4D1FD860">
      <w:pPr>
        <w:rPr>
          <w:rFonts w:hint="eastAsia" w:ascii="仿宋" w:hAnsi="仿宋" w:eastAsia="仿宋" w:cs="仿宋"/>
          <w:color w:val="auto"/>
          <w:sz w:val="32"/>
          <w:szCs w:val="32"/>
          <w:highlight w:val="none"/>
        </w:rPr>
      </w:pPr>
    </w:p>
    <w:p w14:paraId="7A508806">
      <w:pPr>
        <w:pStyle w:val="7"/>
        <w:rPr>
          <w:rFonts w:hint="eastAsia" w:ascii="仿宋" w:hAnsi="仿宋" w:eastAsia="仿宋" w:cs="仿宋"/>
          <w:color w:val="auto"/>
          <w:sz w:val="32"/>
          <w:szCs w:val="32"/>
          <w:highlight w:val="none"/>
        </w:rPr>
      </w:pPr>
    </w:p>
    <w:p w14:paraId="0448E8FC">
      <w:pPr>
        <w:rPr>
          <w:rFonts w:hint="eastAsia" w:ascii="仿宋" w:hAnsi="仿宋" w:eastAsia="仿宋" w:cs="仿宋"/>
          <w:color w:val="auto"/>
          <w:sz w:val="32"/>
          <w:szCs w:val="32"/>
          <w:highlight w:val="none"/>
        </w:rPr>
      </w:pPr>
    </w:p>
    <w:p w14:paraId="7C95E046">
      <w:pPr>
        <w:pStyle w:val="7"/>
        <w:rPr>
          <w:rFonts w:hint="eastAsia" w:ascii="仿宋" w:hAnsi="仿宋" w:eastAsia="仿宋" w:cs="仿宋"/>
          <w:color w:val="auto"/>
          <w:sz w:val="32"/>
          <w:szCs w:val="32"/>
          <w:highlight w:val="none"/>
        </w:rPr>
      </w:pPr>
    </w:p>
    <w:p w14:paraId="50D99D70">
      <w:pPr>
        <w:rPr>
          <w:rFonts w:hint="eastAsia" w:ascii="仿宋" w:hAnsi="仿宋" w:eastAsia="仿宋" w:cs="仿宋"/>
          <w:color w:val="auto"/>
          <w:sz w:val="32"/>
          <w:szCs w:val="32"/>
          <w:highlight w:val="none"/>
        </w:rPr>
      </w:pPr>
    </w:p>
    <w:p w14:paraId="7B07F35B">
      <w:pPr>
        <w:rPr>
          <w:rFonts w:hint="eastAsia" w:ascii="仿宋" w:hAnsi="仿宋" w:eastAsia="仿宋" w:cs="仿宋"/>
          <w:color w:val="auto"/>
          <w:sz w:val="32"/>
          <w:szCs w:val="32"/>
          <w:highlight w:val="none"/>
        </w:rPr>
      </w:pPr>
    </w:p>
    <w:p w14:paraId="49B5B46B">
      <w:pPr>
        <w:pStyle w:val="7"/>
        <w:rPr>
          <w:rFonts w:hint="eastAsia" w:ascii="仿宋" w:hAnsi="仿宋" w:eastAsia="仿宋" w:cs="仿宋"/>
          <w:color w:val="auto"/>
          <w:highlight w:val="none"/>
        </w:rPr>
      </w:pPr>
    </w:p>
    <w:p w14:paraId="450D9520">
      <w:pPr>
        <w:rPr>
          <w:rFonts w:hint="eastAsia" w:ascii="仿宋" w:hAnsi="仿宋" w:eastAsia="仿宋" w:cs="仿宋"/>
          <w:color w:val="auto"/>
          <w:highlight w:val="none"/>
        </w:rPr>
      </w:pPr>
    </w:p>
    <w:p w14:paraId="2794DEB9">
      <w:pPr>
        <w:pStyle w:val="7"/>
        <w:jc w:val="both"/>
        <w:rPr>
          <w:rFonts w:hint="eastAsia" w:ascii="仿宋" w:hAnsi="仿宋" w:eastAsia="仿宋" w:cs="仿宋"/>
          <w:color w:val="auto"/>
          <w:highlight w:val="none"/>
          <w:lang w:val="en-US" w:eastAsia="zh-CN"/>
        </w:rPr>
      </w:pPr>
    </w:p>
    <w:p w14:paraId="7DF4649E">
      <w:pPr>
        <w:rPr>
          <w:rFonts w:hint="eastAsia" w:ascii="仿宋" w:hAnsi="仿宋" w:eastAsia="仿宋" w:cs="仿宋"/>
          <w:color w:val="auto"/>
          <w:highlight w:val="none"/>
          <w:lang w:val="en-US" w:eastAsia="zh-CN"/>
        </w:rPr>
      </w:pPr>
    </w:p>
    <w:p w14:paraId="6481BCB6">
      <w:pPr>
        <w:rPr>
          <w:rFonts w:hint="eastAsia" w:ascii="仿宋" w:hAnsi="仿宋" w:eastAsia="仿宋" w:cs="仿宋"/>
          <w:color w:val="auto"/>
          <w:highlight w:val="none"/>
          <w:lang w:val="en-US" w:eastAsia="zh-CN"/>
        </w:rPr>
      </w:pPr>
    </w:p>
    <w:p w14:paraId="22210C2E">
      <w:pPr>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单位名称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法定代表人或其委托代理人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240" w:lineRule="atLeast"/>
        <w:ind w:firstLine="420" w:firstLineChars="15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none"/>
          <w:lang w:val="en-US" w:eastAsia="zh-CN"/>
        </w:rPr>
        <w:t>联系电话：</w:t>
      </w:r>
      <w:r>
        <w:rPr>
          <w:rFonts w:hint="eastAsia" w:ascii="仿宋" w:hAnsi="仿宋" w:eastAsia="仿宋" w:cs="仿宋"/>
          <w:color w:val="auto"/>
          <w:sz w:val="28"/>
          <w:szCs w:val="28"/>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lang w:val="en-US" w:eastAsia="zh-CN"/>
        </w:rPr>
        <w:sectPr>
          <w:pgSz w:w="11907" w:h="16839"/>
          <w:pgMar w:top="1440" w:right="1803" w:bottom="1440" w:left="1803" w:header="851" w:footer="992" w:gutter="0"/>
          <w:cols w:space="720" w:num="1"/>
          <w:docGrid w:linePitch="312" w:charSpace="0"/>
        </w:sectPr>
      </w:pP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日</w:t>
      </w:r>
    </w:p>
    <w:p w14:paraId="42EDBDB8">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2" w:name="授权书格式"/>
      <w:bookmarkEnd w:id="72"/>
      <w:bookmarkStart w:id="73" w:name="_Toc17828"/>
      <w:bookmarkStart w:id="74" w:name="_Toc21082"/>
      <w:r>
        <w:rPr>
          <w:rFonts w:hint="eastAsia" w:ascii="仿宋" w:hAnsi="仿宋" w:eastAsia="仿宋" w:cs="仿宋"/>
          <w:b/>
          <w:color w:val="auto"/>
          <w:sz w:val="30"/>
          <w:szCs w:val="30"/>
          <w:highlight w:val="none"/>
        </w:rPr>
        <w:t>报  价  函</w:t>
      </w:r>
      <w:bookmarkEnd w:id="73"/>
      <w:bookmarkEnd w:id="74"/>
    </w:p>
    <w:p w14:paraId="2E394414">
      <w:pPr>
        <w:spacing w:line="560" w:lineRule="exact"/>
        <w:jc w:val="left"/>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赣州景区建设运营有限公司</w:t>
      </w:r>
    </w:p>
    <w:p w14:paraId="4A6B73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eastAsia="zh-CN"/>
          <w14:textFill>
            <w14:solidFill>
              <w14:schemeClr w14:val="tx1"/>
            </w14:solidFill>
          </w14:textFill>
        </w:rPr>
        <w:t>1.</w:t>
      </w:r>
      <w:r>
        <w:rPr>
          <w:rFonts w:hint="eastAsia" w:ascii="仿宋" w:hAnsi="仿宋" w:eastAsia="仿宋" w:cs="仿宋"/>
          <w:color w:val="000000" w:themeColor="text1"/>
          <w:sz w:val="24"/>
          <w:szCs w:val="24"/>
          <w:highlight w:val="none"/>
          <w:u w:val="none"/>
          <w14:textFill>
            <w14:solidFill>
              <w14:schemeClr w14:val="tx1"/>
            </w14:solidFill>
          </w14:textFill>
        </w:rPr>
        <w:t>我单位已仔细研究贵公司的《</w:t>
      </w:r>
      <w:r>
        <w:rPr>
          <w:rFonts w:hint="eastAsia" w:ascii="仿宋" w:hAnsi="仿宋" w:eastAsia="仿宋" w:cs="仿宋"/>
          <w:color w:val="auto"/>
          <w:sz w:val="24"/>
          <w:highlight w:val="none"/>
          <w:lang w:eastAsia="zh-CN"/>
        </w:rPr>
        <w:t>赣州景区建设运营有限公司调料类产品2026</w:t>
      </w:r>
      <w:r>
        <w:rPr>
          <w:rFonts w:hint="eastAsia" w:ascii="仿宋" w:hAnsi="仿宋" w:eastAsia="仿宋" w:cs="仿宋"/>
          <w:color w:val="auto"/>
          <w:sz w:val="24"/>
          <w:highlight w:val="none"/>
          <w:lang w:val="en-US" w:eastAsia="zh-CN"/>
        </w:rPr>
        <w:t>-2027</w:t>
      </w:r>
      <w:r>
        <w:rPr>
          <w:rFonts w:hint="eastAsia" w:ascii="仿宋" w:hAnsi="仿宋" w:eastAsia="仿宋" w:cs="仿宋"/>
          <w:color w:val="auto"/>
          <w:sz w:val="24"/>
          <w:highlight w:val="none"/>
          <w:lang w:eastAsia="zh-CN"/>
        </w:rPr>
        <w:t>年度框架协议供应商入围征集项目</w:t>
      </w:r>
      <w:r>
        <w:rPr>
          <w:rFonts w:hint="eastAsia" w:ascii="仿宋" w:hAnsi="仿宋" w:eastAsia="仿宋" w:cs="仿宋"/>
          <w:color w:val="000000" w:themeColor="text1"/>
          <w:sz w:val="24"/>
          <w:szCs w:val="24"/>
          <w:highlight w:val="none"/>
          <w:u w:val="none"/>
          <w14:textFill>
            <w14:solidFill>
              <w14:schemeClr w14:val="tx1"/>
            </w14:solidFill>
          </w14:textFill>
        </w:rPr>
        <w:t>》的全部内容，经过认真核算</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征集文件</w:t>
      </w:r>
      <w:r>
        <w:rPr>
          <w:rFonts w:hint="eastAsia" w:ascii="仿宋" w:hAnsi="仿宋" w:eastAsia="仿宋" w:cs="仿宋"/>
          <w:color w:val="000000" w:themeColor="text1"/>
          <w:sz w:val="24"/>
          <w:szCs w:val="24"/>
          <w:highlight w:val="none"/>
          <w:u w:val="none"/>
          <w14:textFill>
            <w14:solidFill>
              <w14:schemeClr w14:val="tx1"/>
            </w14:solidFill>
          </w14:textFill>
        </w:rPr>
        <w:t>附件3参考价</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，并</w:t>
      </w:r>
      <w:r>
        <w:rPr>
          <w:rFonts w:hint="eastAsia" w:ascii="仿宋" w:hAnsi="仿宋" w:eastAsia="仿宋" w:cs="仿宋"/>
          <w:color w:val="000000" w:themeColor="text1"/>
          <w:sz w:val="24"/>
          <w:szCs w:val="24"/>
          <w:highlight w:val="none"/>
          <w:u w:val="none"/>
          <w14:textFill>
            <w14:solidFill>
              <w14:schemeClr w14:val="tx1"/>
            </w14:solidFill>
          </w14:textFill>
        </w:rPr>
        <w:t>参照自身同一时期供应成本基准价格合理测算后，愿意接受</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文件所列的全部条件，认同</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文件的所有内容，愿意以</w:t>
      </w:r>
      <w:r>
        <w:rPr>
          <w:rFonts w:hint="eastAsia" w:ascii="仿宋" w:hAnsi="仿宋" w:eastAsia="仿宋" w:cs="仿宋"/>
          <w:color w:val="000000" w:themeColor="text1"/>
          <w:sz w:val="24"/>
          <w:szCs w:val="24"/>
          <w:highlight w:val="none"/>
          <w:u w:val="none"/>
          <w:lang w:eastAsia="zh-CN"/>
          <w14:textFill>
            <w14:solidFill>
              <w14:schemeClr w14:val="tx1"/>
            </w14:solidFill>
          </w14:textFill>
        </w:rPr>
        <w:t>：</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下浮率响应，发票类型及税率为：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2.在合同协议书正式签署生效之前，本报价函连同你方的</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ab/>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3. 计算说明</w:t>
      </w:r>
      <w:r>
        <w:rPr>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（请响应单位自行填写）</w:t>
      </w:r>
    </w:p>
    <w:p w14:paraId="4B5697C4">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jc w:val="left"/>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例如：序号4厨邦酱油10.5L 2026年7月经采购人调查合理市场参考单价为80元/瓶，固定下浮率为2%，我方报价下浮率为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（此处填写段落1所填报的下浮率），则2026年7月结算价格为80×（1-2%）×（1-</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元/瓶</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w:t>
      </w:r>
    </w:p>
    <w:p w14:paraId="39DA4FE6">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auto"/>
          <w:sz w:val="24"/>
          <w:szCs w:val="24"/>
          <w:highlight w:val="yellow"/>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2026-2027年度供应期间每月合理市场价以采购人市场调查结果进行调整，固定下浮率2%以及我单位报价下浮率</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（此处填写段落1所填报的下浮率）不再调整。</w:t>
      </w: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560" w:lineRule="exact"/>
        <w:ind w:left="3640" w:leftChars="1400"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F7650DB">
      <w:pPr>
        <w:rPr>
          <w:rFonts w:hint="eastAsia" w:ascii="仿宋" w:hAnsi="仿宋" w:eastAsia="仿宋" w:cs="仿宋"/>
          <w:color w:val="auto"/>
          <w:sz w:val="24"/>
          <w:highlight w:val="none"/>
        </w:rPr>
      </w:pPr>
    </w:p>
    <w:p w14:paraId="2C3CDE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注：1</w:t>
      </w:r>
      <w:r>
        <w:rPr>
          <w:rFonts w:hint="eastAsia" w:ascii="仿宋" w:hAnsi="仿宋" w:eastAsia="仿宋" w:cs="仿宋"/>
          <w:b/>
          <w:bCs/>
          <w:color w:val="auto"/>
          <w:sz w:val="24"/>
          <w:szCs w:val="24"/>
          <w:highlight w:val="none"/>
          <w:lang w:val="en-US" w:eastAsia="zh-CN"/>
        </w:rPr>
        <w:t>.总价</w:t>
      </w:r>
      <w:r>
        <w:rPr>
          <w:rFonts w:hint="eastAsia" w:ascii="仿宋" w:hAnsi="仿宋" w:eastAsia="仿宋" w:cs="仿宋"/>
          <w:b/>
          <w:bCs/>
          <w:color w:val="auto"/>
          <w:sz w:val="24"/>
          <w:szCs w:val="24"/>
          <w:highlight w:val="none"/>
        </w:rPr>
        <w:t>包含运费、税金、利润等为完成本项目所有内容的</w:t>
      </w:r>
      <w:r>
        <w:rPr>
          <w:rFonts w:hint="eastAsia" w:ascii="仿宋" w:hAnsi="仿宋" w:eastAsia="仿宋" w:cs="仿宋"/>
          <w:b/>
          <w:bCs/>
          <w:color w:val="auto"/>
          <w:sz w:val="24"/>
          <w:szCs w:val="24"/>
          <w:highlight w:val="none"/>
          <w:lang w:val="en-US" w:eastAsia="zh-CN"/>
        </w:rPr>
        <w:t>一切费用</w:t>
      </w:r>
      <w:r>
        <w:rPr>
          <w:rFonts w:hint="eastAsia" w:ascii="仿宋" w:hAnsi="仿宋" w:eastAsia="仿宋" w:cs="仿宋"/>
          <w:b/>
          <w:bCs/>
          <w:color w:val="auto"/>
          <w:sz w:val="24"/>
          <w:szCs w:val="24"/>
          <w:highlight w:val="none"/>
        </w:rPr>
        <w:t>。</w:t>
      </w:r>
    </w:p>
    <w:p w14:paraId="23FAA8D2">
      <w:pPr>
        <w:keepNext w:val="0"/>
        <w:keepLines w:val="0"/>
        <w:pageBreakBefore w:val="0"/>
        <w:widowControl w:val="0"/>
        <w:kinsoku/>
        <w:wordWrap/>
        <w:overflowPunct/>
        <w:topLinePunct w:val="0"/>
        <w:autoSpaceDE/>
        <w:autoSpaceDN/>
        <w:bidi w:val="0"/>
        <w:adjustRightInd/>
        <w:snapToGrid/>
        <w:spacing w:line="240" w:lineRule="auto"/>
        <w:ind w:left="480" w:leftChars="200" w:firstLine="0" w:firstLineChars="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2.本次采购为</w:t>
      </w:r>
      <w:r>
        <w:rPr>
          <w:rFonts w:hint="eastAsia" w:ascii="仿宋" w:hAnsi="仿宋" w:eastAsia="仿宋" w:cs="仿宋"/>
          <w:b/>
          <w:bCs/>
          <w:color w:val="auto"/>
          <w:sz w:val="24"/>
          <w:szCs w:val="24"/>
          <w:highlight w:val="none"/>
          <w:lang w:val="en-US" w:eastAsia="zh-CN"/>
        </w:rPr>
        <w:t>赣州景区建设运营有限公司</w:t>
      </w:r>
      <w:r>
        <w:rPr>
          <w:rFonts w:hint="eastAsia" w:ascii="仿宋" w:hAnsi="仿宋" w:eastAsia="仿宋" w:cs="仿宋"/>
          <w:b/>
          <w:bCs/>
          <w:color w:val="auto"/>
          <w:sz w:val="24"/>
          <w:szCs w:val="24"/>
          <w:highlight w:val="none"/>
          <w:lang w:eastAsia="zh-CN"/>
        </w:rPr>
        <w:t>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采购人附加税率）。请各小规模纳税人综合测算后，在报价中进行下浮响应。</w:t>
      </w:r>
    </w:p>
    <w:p w14:paraId="2FE26398">
      <w:pPr>
        <w:keepNext w:val="0"/>
        <w:keepLines w:val="0"/>
        <w:pageBreakBefore w:val="0"/>
        <w:widowControl w:val="0"/>
        <w:kinsoku/>
        <w:wordWrap/>
        <w:overflowPunct/>
        <w:topLinePunct w:val="0"/>
        <w:autoSpaceDE/>
        <w:autoSpaceDN/>
        <w:bidi w:val="0"/>
        <w:adjustRightInd/>
        <w:snapToGrid/>
        <w:spacing w:line="240" w:lineRule="auto"/>
        <w:ind w:firstLine="880" w:firstLineChars="400"/>
        <w:textAlignment w:val="auto"/>
        <w:rPr>
          <w:rFonts w:hint="eastAsia" w:ascii="仿宋" w:hAnsi="仿宋" w:eastAsia="仿宋" w:cs="仿宋"/>
          <w:color w:val="auto"/>
          <w:sz w:val="22"/>
          <w:highlight w:val="none"/>
        </w:rPr>
      </w:pPr>
      <w:r>
        <w:rPr>
          <w:rFonts w:hint="eastAsia" w:ascii="仿宋" w:hAnsi="仿宋" w:eastAsia="仿宋" w:cs="仿宋"/>
          <w:color w:val="auto"/>
          <w:sz w:val="22"/>
          <w:highlight w:val="none"/>
        </w:rPr>
        <w:br w:type="page"/>
      </w:r>
    </w:p>
    <w:p w14:paraId="08FEBF25">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5" w:name="_Toc2011"/>
      <w:bookmarkStart w:id="76" w:name="_Toc18850"/>
      <w:bookmarkStart w:id="77" w:name="_Toc19839"/>
      <w:bookmarkStart w:id="78" w:name="_Toc13618_WPSOffice_Level1"/>
      <w:bookmarkStart w:id="79" w:name="_Toc21864"/>
      <w:r>
        <w:rPr>
          <w:rFonts w:hint="eastAsia" w:ascii="仿宋" w:hAnsi="仿宋" w:eastAsia="仿宋" w:cs="仿宋"/>
          <w:b/>
          <w:color w:val="auto"/>
          <w:sz w:val="30"/>
          <w:szCs w:val="30"/>
          <w:highlight w:val="none"/>
        </w:rPr>
        <w:t>资格审查资料</w:t>
      </w:r>
      <w:bookmarkEnd w:id="75"/>
      <w:bookmarkEnd w:id="76"/>
      <w:bookmarkEnd w:id="77"/>
      <w:bookmarkEnd w:id="78"/>
      <w:bookmarkEnd w:id="79"/>
    </w:p>
    <w:p w14:paraId="4CCBBEC3">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80" w:name="_Toc29786"/>
      <w:bookmarkStart w:id="81" w:name="_Toc30669_WPSOffice_Level2"/>
      <w:bookmarkStart w:id="82" w:name="_Toc11766"/>
      <w:bookmarkStart w:id="83" w:name="_Toc29052_WPSOffice_Level3"/>
      <w:bookmarkStart w:id="84" w:name="_Toc3188"/>
      <w:bookmarkStart w:id="85" w:name="_Toc25471_WPSOffice_Level2"/>
      <w:bookmarkStart w:id="86" w:name="_Toc27781_WPSOffice_Level2"/>
      <w:bookmarkStart w:id="87" w:name="_Toc12555"/>
      <w:bookmarkStart w:id="88" w:name="_Toc7743_WPSOffice_Level2"/>
      <w:bookmarkStart w:id="89" w:name="_Toc23167"/>
      <w:r>
        <w:rPr>
          <w:rFonts w:hint="eastAsia" w:ascii="仿宋" w:hAnsi="仿宋" w:eastAsia="仿宋" w:cs="仿宋"/>
          <w:b/>
          <w:color w:val="auto"/>
          <w:sz w:val="30"/>
          <w:szCs w:val="30"/>
          <w:highlight w:val="none"/>
        </w:rPr>
        <w:t>（一）公司基本情况一览表</w:t>
      </w:r>
      <w:bookmarkEnd w:id="80"/>
      <w:bookmarkEnd w:id="81"/>
      <w:bookmarkEnd w:id="82"/>
      <w:bookmarkEnd w:id="83"/>
      <w:bookmarkEnd w:id="84"/>
      <w:bookmarkEnd w:id="85"/>
      <w:bookmarkEnd w:id="86"/>
      <w:bookmarkEnd w:id="87"/>
      <w:bookmarkEnd w:id="88"/>
      <w:bookmarkEnd w:id="89"/>
    </w:p>
    <w:tbl>
      <w:tblPr>
        <w:tblStyle w:val="23"/>
        <w:tblW w:w="8256" w:type="dxa"/>
        <w:tblInd w:w="13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25"/>
        <w:gridCol w:w="2436"/>
        <w:gridCol w:w="1719"/>
        <w:gridCol w:w="2376"/>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6656E7F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企业名称</w:t>
            </w:r>
          </w:p>
        </w:tc>
        <w:tc>
          <w:tcPr>
            <w:tcW w:w="2436" w:type="dxa"/>
            <w:tcBorders>
              <w:top w:val="single" w:color="auto" w:sz="6" w:space="0"/>
              <w:left w:val="single" w:color="auto" w:sz="6" w:space="0"/>
              <w:bottom w:val="single" w:color="auto" w:sz="6" w:space="0"/>
              <w:right w:val="single" w:color="auto" w:sz="6" w:space="0"/>
            </w:tcBorders>
            <w:vAlign w:val="center"/>
          </w:tcPr>
          <w:p w14:paraId="6AFF28B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4C05C4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成立日期</w:t>
            </w:r>
          </w:p>
        </w:tc>
        <w:tc>
          <w:tcPr>
            <w:tcW w:w="2376" w:type="dxa"/>
            <w:tcBorders>
              <w:top w:val="single" w:color="auto" w:sz="6" w:space="0"/>
              <w:left w:val="single" w:color="auto" w:sz="6" w:space="0"/>
              <w:bottom w:val="single" w:color="auto" w:sz="6" w:space="0"/>
              <w:right w:val="single" w:color="auto" w:sz="6" w:space="0"/>
            </w:tcBorders>
            <w:vAlign w:val="center"/>
          </w:tcPr>
          <w:p w14:paraId="56DEF30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2F3462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注册资本</w:t>
            </w:r>
          </w:p>
        </w:tc>
        <w:tc>
          <w:tcPr>
            <w:tcW w:w="2436" w:type="dxa"/>
            <w:tcBorders>
              <w:top w:val="single" w:color="auto" w:sz="6" w:space="0"/>
              <w:left w:val="single" w:color="auto" w:sz="6" w:space="0"/>
              <w:bottom w:val="single" w:color="auto" w:sz="6" w:space="0"/>
              <w:right w:val="single" w:color="auto" w:sz="6" w:space="0"/>
            </w:tcBorders>
            <w:vAlign w:val="center"/>
          </w:tcPr>
          <w:p w14:paraId="36425160">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44D3579">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企业类型</w:t>
            </w:r>
          </w:p>
        </w:tc>
        <w:tc>
          <w:tcPr>
            <w:tcW w:w="2376" w:type="dxa"/>
            <w:tcBorders>
              <w:top w:val="single" w:color="auto" w:sz="6" w:space="0"/>
              <w:left w:val="single" w:color="auto" w:sz="6" w:space="0"/>
              <w:bottom w:val="single" w:color="auto" w:sz="6" w:space="0"/>
              <w:right w:val="single" w:color="auto" w:sz="6" w:space="0"/>
            </w:tcBorders>
            <w:vAlign w:val="center"/>
          </w:tcPr>
          <w:p w14:paraId="08B7F77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0" w:hRule="atLeast"/>
        </w:trPr>
        <w:tc>
          <w:tcPr>
            <w:tcW w:w="1725" w:type="dxa"/>
            <w:tcBorders>
              <w:top w:val="single" w:color="auto" w:sz="6" w:space="0"/>
              <w:left w:val="single" w:color="auto" w:sz="6" w:space="0"/>
              <w:bottom w:val="single" w:color="auto" w:sz="6" w:space="0"/>
              <w:right w:val="single" w:color="auto" w:sz="6" w:space="0"/>
            </w:tcBorders>
            <w:vAlign w:val="center"/>
          </w:tcPr>
          <w:p w14:paraId="29DB126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批准登记机关</w:t>
            </w:r>
          </w:p>
        </w:tc>
        <w:tc>
          <w:tcPr>
            <w:tcW w:w="2436" w:type="dxa"/>
            <w:tcBorders>
              <w:top w:val="single" w:color="auto" w:sz="6" w:space="0"/>
              <w:left w:val="single" w:color="auto" w:sz="6" w:space="0"/>
              <w:bottom w:val="single" w:color="auto" w:sz="6" w:space="0"/>
              <w:right w:val="single" w:color="auto" w:sz="6" w:space="0"/>
            </w:tcBorders>
            <w:vAlign w:val="center"/>
          </w:tcPr>
          <w:p w14:paraId="3CB6D1F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5605B5F7">
            <w:pPr>
              <w:spacing w:line="360" w:lineRule="auto"/>
              <w:jc w:val="center"/>
              <w:rPr>
                <w:rFonts w:hint="eastAsia" w:ascii="仿宋" w:hAnsi="仿宋" w:eastAsia="仿宋" w:cs="仿宋"/>
                <w:color w:val="000000" w:themeColor="text1"/>
                <w:highlight w:val="none"/>
                <w:u w:val="none"/>
                <w:lang w:eastAsia="zh-CN"/>
                <w14:textFill>
                  <w14:solidFill>
                    <w14:schemeClr w14:val="tx1"/>
                  </w14:solidFill>
                </w14:textFill>
              </w:rPr>
            </w:pPr>
            <w:r>
              <w:rPr>
                <w:rFonts w:hint="eastAsia" w:ascii="仿宋" w:hAnsi="仿宋" w:eastAsia="仿宋" w:cs="仿宋"/>
                <w:color w:val="000000" w:themeColor="text1"/>
                <w:highlight w:val="none"/>
                <w:u w:val="none"/>
                <w:lang w:val="en-US" w:eastAsia="zh-CN"/>
                <w14:textFill>
                  <w14:solidFill>
                    <w14:schemeClr w14:val="tx1"/>
                  </w14:solidFill>
                </w14:textFill>
              </w:rPr>
              <w:t>统一社会信用代码</w:t>
            </w:r>
          </w:p>
        </w:tc>
        <w:tc>
          <w:tcPr>
            <w:tcW w:w="2376" w:type="dxa"/>
            <w:tcBorders>
              <w:top w:val="single" w:color="auto" w:sz="6" w:space="0"/>
              <w:left w:val="single" w:color="auto" w:sz="6" w:space="0"/>
              <w:bottom w:val="single" w:color="auto" w:sz="6" w:space="0"/>
              <w:right w:val="single" w:color="auto" w:sz="6" w:space="0"/>
            </w:tcBorders>
            <w:vAlign w:val="center"/>
          </w:tcPr>
          <w:p w14:paraId="6DDFB6C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75E9861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法定代表人</w:t>
            </w:r>
          </w:p>
        </w:tc>
        <w:tc>
          <w:tcPr>
            <w:tcW w:w="2436" w:type="dxa"/>
            <w:tcBorders>
              <w:top w:val="single" w:color="auto" w:sz="6" w:space="0"/>
              <w:left w:val="single" w:color="auto" w:sz="6" w:space="0"/>
              <w:bottom w:val="single" w:color="auto" w:sz="6" w:space="0"/>
              <w:right w:val="single" w:color="auto" w:sz="6" w:space="0"/>
            </w:tcBorders>
            <w:vAlign w:val="center"/>
          </w:tcPr>
          <w:p w14:paraId="76B3D54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26D563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营业期限</w:t>
            </w:r>
          </w:p>
        </w:tc>
        <w:tc>
          <w:tcPr>
            <w:tcW w:w="2376" w:type="dxa"/>
            <w:tcBorders>
              <w:top w:val="single" w:color="auto" w:sz="6" w:space="0"/>
              <w:left w:val="single" w:color="auto" w:sz="6" w:space="0"/>
              <w:bottom w:val="single" w:color="auto" w:sz="6" w:space="0"/>
              <w:right w:val="single" w:color="auto" w:sz="6" w:space="0"/>
            </w:tcBorders>
            <w:vAlign w:val="center"/>
          </w:tcPr>
          <w:p w14:paraId="6649AD9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F426A0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资质类型</w:t>
            </w:r>
          </w:p>
        </w:tc>
        <w:tc>
          <w:tcPr>
            <w:tcW w:w="2436" w:type="dxa"/>
            <w:tcBorders>
              <w:top w:val="single" w:color="auto" w:sz="6" w:space="0"/>
              <w:left w:val="single" w:color="auto" w:sz="6" w:space="0"/>
              <w:bottom w:val="single" w:color="auto" w:sz="6" w:space="0"/>
              <w:right w:val="single" w:color="auto" w:sz="6" w:space="0"/>
            </w:tcBorders>
            <w:vAlign w:val="center"/>
          </w:tcPr>
          <w:p w14:paraId="3E87F21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3009543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资质等级</w:t>
            </w:r>
          </w:p>
        </w:tc>
        <w:tc>
          <w:tcPr>
            <w:tcW w:w="2376" w:type="dxa"/>
            <w:tcBorders>
              <w:top w:val="single" w:color="auto" w:sz="6" w:space="0"/>
              <w:left w:val="single" w:color="auto" w:sz="6" w:space="0"/>
              <w:bottom w:val="single" w:color="auto" w:sz="6" w:space="0"/>
              <w:right w:val="single" w:color="auto" w:sz="6" w:space="0"/>
            </w:tcBorders>
            <w:vAlign w:val="center"/>
          </w:tcPr>
          <w:p w14:paraId="286F45E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725" w:type="dxa"/>
            <w:tcBorders>
              <w:top w:val="single" w:color="auto" w:sz="6" w:space="0"/>
              <w:left w:val="single" w:color="auto" w:sz="6" w:space="0"/>
              <w:bottom w:val="single" w:color="auto" w:sz="6" w:space="0"/>
              <w:right w:val="single" w:color="auto" w:sz="6" w:space="0"/>
            </w:tcBorders>
            <w:vAlign w:val="center"/>
          </w:tcPr>
          <w:p w14:paraId="62DD568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主营业务</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47B56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CB17AD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地址</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113A004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B33F44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开户银行</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55CDAC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5D940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开户行号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737BDEC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7A8AE27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银行账号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F8CC7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43228DE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电话</w:t>
            </w:r>
          </w:p>
        </w:tc>
        <w:tc>
          <w:tcPr>
            <w:tcW w:w="2436" w:type="dxa"/>
            <w:tcBorders>
              <w:top w:val="single" w:color="auto" w:sz="6" w:space="0"/>
              <w:left w:val="single" w:color="auto" w:sz="6" w:space="0"/>
              <w:bottom w:val="single" w:color="auto" w:sz="6" w:space="0"/>
              <w:right w:val="single" w:color="auto" w:sz="6" w:space="0"/>
            </w:tcBorders>
            <w:vAlign w:val="center"/>
          </w:tcPr>
          <w:p w14:paraId="2960EFA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E0EF4E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传真</w:t>
            </w:r>
          </w:p>
        </w:tc>
        <w:tc>
          <w:tcPr>
            <w:tcW w:w="2376" w:type="dxa"/>
            <w:tcBorders>
              <w:top w:val="single" w:color="auto" w:sz="6" w:space="0"/>
              <w:left w:val="single" w:color="auto" w:sz="6" w:space="0"/>
              <w:bottom w:val="single" w:color="auto" w:sz="6" w:space="0"/>
              <w:right w:val="single" w:color="auto" w:sz="6" w:space="0"/>
            </w:tcBorders>
            <w:vAlign w:val="center"/>
          </w:tcPr>
          <w:p w14:paraId="338F883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02AD820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邮箱</w:t>
            </w:r>
          </w:p>
        </w:tc>
        <w:tc>
          <w:tcPr>
            <w:tcW w:w="2436" w:type="dxa"/>
            <w:tcBorders>
              <w:top w:val="single" w:color="auto" w:sz="6" w:space="0"/>
              <w:left w:val="single" w:color="auto" w:sz="6" w:space="0"/>
              <w:bottom w:val="single" w:color="auto" w:sz="6" w:space="0"/>
              <w:right w:val="single" w:color="auto" w:sz="6" w:space="0"/>
            </w:tcBorders>
            <w:vAlign w:val="center"/>
          </w:tcPr>
          <w:p w14:paraId="3655282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2C8759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邮编</w:t>
            </w:r>
          </w:p>
        </w:tc>
        <w:tc>
          <w:tcPr>
            <w:tcW w:w="2376" w:type="dxa"/>
            <w:tcBorders>
              <w:top w:val="single" w:color="auto" w:sz="6" w:space="0"/>
              <w:left w:val="single" w:color="auto" w:sz="6" w:space="0"/>
              <w:bottom w:val="single" w:color="auto" w:sz="6" w:space="0"/>
              <w:right w:val="single" w:color="auto" w:sz="6" w:space="0"/>
            </w:tcBorders>
            <w:vAlign w:val="center"/>
          </w:tcPr>
          <w:p w14:paraId="71A46DF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0" w:hRule="atLeast"/>
        </w:trPr>
        <w:tc>
          <w:tcPr>
            <w:tcW w:w="1725" w:type="dxa"/>
            <w:tcBorders>
              <w:top w:val="single" w:color="auto" w:sz="6" w:space="0"/>
              <w:left w:val="single" w:color="auto" w:sz="6" w:space="0"/>
              <w:bottom w:val="single" w:color="auto" w:sz="6" w:space="0"/>
              <w:right w:val="single" w:color="auto" w:sz="6" w:space="0"/>
            </w:tcBorders>
            <w:vAlign w:val="center"/>
          </w:tcPr>
          <w:p w14:paraId="0B7B01B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联系人</w:t>
            </w:r>
          </w:p>
        </w:tc>
        <w:tc>
          <w:tcPr>
            <w:tcW w:w="2436" w:type="dxa"/>
            <w:tcBorders>
              <w:top w:val="single" w:color="auto" w:sz="6" w:space="0"/>
              <w:left w:val="single" w:color="auto" w:sz="6" w:space="0"/>
              <w:bottom w:val="single" w:color="auto" w:sz="6" w:space="0"/>
              <w:right w:val="single" w:color="auto" w:sz="6" w:space="0"/>
            </w:tcBorders>
            <w:vAlign w:val="center"/>
          </w:tcPr>
          <w:p w14:paraId="13D57AE5">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60D4D6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联系方式</w:t>
            </w:r>
          </w:p>
        </w:tc>
        <w:tc>
          <w:tcPr>
            <w:tcW w:w="2376" w:type="dxa"/>
            <w:tcBorders>
              <w:top w:val="single" w:color="auto" w:sz="6" w:space="0"/>
              <w:left w:val="single" w:color="auto" w:sz="6" w:space="0"/>
              <w:bottom w:val="single" w:color="auto" w:sz="6" w:space="0"/>
              <w:right w:val="single" w:color="auto" w:sz="6" w:space="0"/>
            </w:tcBorders>
            <w:vAlign w:val="center"/>
          </w:tcPr>
          <w:p w14:paraId="37E2E9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bl>
    <w:p w14:paraId="40BD6B47">
      <w:pPr>
        <w:jc w:val="both"/>
        <w:outlineLvl w:val="1"/>
        <w:rPr>
          <w:rFonts w:hint="eastAsia" w:ascii="宋体" w:hAnsi="宋体" w:cs="宋体"/>
          <w:b/>
          <w:bCs/>
          <w:color w:val="000000" w:themeColor="text1"/>
          <w:sz w:val="28"/>
          <w:szCs w:val="28"/>
          <w:highlight w:val="none"/>
          <w:u w:val="none"/>
          <w14:textFill>
            <w14:solidFill>
              <w14:schemeClr w14:val="tx1"/>
            </w14:solidFill>
          </w14:textFill>
        </w:rPr>
      </w:pPr>
      <w:bookmarkStart w:id="90" w:name="_Toc9084_WPSOffice_Level2"/>
      <w:bookmarkStart w:id="91" w:name="_Toc1797"/>
      <w:bookmarkStart w:id="92" w:name="_Toc1852"/>
      <w:bookmarkStart w:id="93" w:name="_Toc30597"/>
      <w:bookmarkStart w:id="94" w:name="_Toc13231"/>
      <w:bookmarkStart w:id="95" w:name="_Toc26908"/>
      <w:bookmarkStart w:id="96" w:name="_Toc16007_WPSOffice_Level2"/>
      <w:bookmarkStart w:id="97" w:name="_Toc19438_WPSOffice_Level2"/>
      <w:bookmarkStart w:id="98" w:name="_Toc4655"/>
      <w:bookmarkStart w:id="99" w:name="_Toc886_WPSOffice_Level2"/>
      <w:bookmarkStart w:id="100" w:name="_Toc15100_WPSOffice_Level2"/>
      <w:bookmarkStart w:id="101" w:name="_Toc9797_WPSOffice_Level2"/>
    </w:p>
    <w:p w14:paraId="077EAEDC">
      <w:pPr>
        <w:tabs>
          <w:tab w:val="left" w:pos="1470"/>
        </w:tabs>
        <w:spacing w:line="432" w:lineRule="auto"/>
        <w:rPr>
          <w:rFonts w:hint="eastAsia" w:ascii="仿宋" w:hAnsi="仿宋" w:eastAsia="仿宋" w:cs="仿宋"/>
          <w:b/>
          <w:color w:val="000000" w:themeColor="text1"/>
          <w:highlight w:val="none"/>
          <w:u w:val="none"/>
          <w:lang w:val="en-US" w:eastAsia="zh-CN"/>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附：</w:t>
      </w:r>
      <w:r>
        <w:rPr>
          <w:rFonts w:hint="eastAsia" w:ascii="仿宋" w:hAnsi="仿宋" w:eastAsia="仿宋" w:cs="仿宋"/>
          <w:b/>
          <w:color w:val="000000" w:themeColor="text1"/>
          <w:highlight w:val="none"/>
          <w:u w:val="none"/>
          <w:lang w:val="en-US" w:eastAsia="zh-CN"/>
          <w14:textFill>
            <w14:solidFill>
              <w14:schemeClr w14:val="tx1"/>
            </w14:solidFill>
          </w14:textFill>
        </w:rPr>
        <w:t>企业营业执照复印件、资质证明文件（如公司行业资质等）复印件，以上资料需加盖公章。</w:t>
      </w:r>
    </w:p>
    <w:p w14:paraId="104DF74F">
      <w:pPr>
        <w:pStyle w:val="7"/>
        <w:rPr>
          <w:rFonts w:hint="eastAsia"/>
        </w:rPr>
      </w:pPr>
    </w:p>
    <w:p w14:paraId="025F6CF0">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102" w:name="_Toc23966"/>
      <w:r>
        <w:rPr>
          <w:rFonts w:hint="eastAsia" w:ascii="仿宋" w:hAnsi="仿宋" w:eastAsia="仿宋" w:cs="仿宋"/>
          <w:b/>
          <w:color w:val="auto"/>
          <w:sz w:val="30"/>
          <w:szCs w:val="30"/>
          <w:highlight w:val="none"/>
        </w:rPr>
        <w:t>（二）企业业绩情况</w:t>
      </w:r>
      <w:bookmarkEnd w:id="90"/>
      <w:bookmarkEnd w:id="91"/>
      <w:bookmarkEnd w:id="92"/>
      <w:bookmarkEnd w:id="93"/>
      <w:bookmarkEnd w:id="94"/>
      <w:bookmarkEnd w:id="95"/>
      <w:bookmarkEnd w:id="96"/>
      <w:bookmarkEnd w:id="97"/>
      <w:bookmarkEnd w:id="98"/>
      <w:bookmarkEnd w:id="99"/>
      <w:bookmarkEnd w:id="100"/>
      <w:bookmarkEnd w:id="101"/>
      <w:bookmarkEnd w:id="102"/>
    </w:p>
    <w:tbl>
      <w:tblPr>
        <w:tblStyle w:val="23"/>
        <w:tblW w:w="83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5"/>
        <w:gridCol w:w="1293"/>
        <w:gridCol w:w="1293"/>
        <w:gridCol w:w="2351"/>
        <w:gridCol w:w="2616"/>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7C024435">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项目规模（万元）</w:t>
            </w:r>
          </w:p>
        </w:tc>
        <w:tc>
          <w:tcPr>
            <w:tcW w:w="2616" w:type="dxa"/>
            <w:tcBorders>
              <w:top w:val="single" w:color="auto" w:sz="4" w:space="0"/>
              <w:left w:val="single" w:color="auto" w:sz="4" w:space="0"/>
              <w:bottom w:val="single" w:color="auto" w:sz="4" w:space="0"/>
              <w:right w:val="single" w:color="auto" w:sz="4" w:space="0"/>
            </w:tcBorders>
            <w:vAlign w:val="center"/>
          </w:tcPr>
          <w:p w14:paraId="65A8B004">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6BA490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1F9BCD48">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AF7FFB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D705080">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19B972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5A666CB4">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F3F9D0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4E256FE">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7"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7D0B2A04">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5</w:t>
            </w:r>
          </w:p>
        </w:tc>
        <w:tc>
          <w:tcPr>
            <w:tcW w:w="1293" w:type="dxa"/>
            <w:tcBorders>
              <w:top w:val="single" w:color="auto" w:sz="4" w:space="0"/>
              <w:left w:val="single" w:color="auto" w:sz="4" w:space="0"/>
              <w:bottom w:val="single" w:color="auto" w:sz="4" w:space="0"/>
              <w:right w:val="single" w:color="auto" w:sz="4" w:space="0"/>
            </w:tcBorders>
            <w:vAlign w:val="center"/>
          </w:tcPr>
          <w:p w14:paraId="763C158C">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1293" w:type="dxa"/>
            <w:tcBorders>
              <w:top w:val="single" w:color="auto" w:sz="4" w:space="0"/>
              <w:left w:val="single" w:color="auto" w:sz="4" w:space="0"/>
              <w:bottom w:val="single" w:color="auto" w:sz="4" w:space="0"/>
              <w:right w:val="single" w:color="auto" w:sz="4" w:space="0"/>
            </w:tcBorders>
            <w:vAlign w:val="center"/>
          </w:tcPr>
          <w:p w14:paraId="4391A5C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472433C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324024A3">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bl>
    <w:p w14:paraId="54C9C855">
      <w:pPr>
        <w:rPr>
          <w:rFonts w:hint="eastAsia" w:ascii="宋体" w:hAnsi="宋体" w:cs="宋体"/>
          <w:color w:val="000000" w:themeColor="text1"/>
          <w:highlight w:val="none"/>
          <w:u w:val="none"/>
          <w14:textFill>
            <w14:solidFill>
              <w14:schemeClr w14:val="tx1"/>
            </w14:solidFill>
          </w14:textFill>
        </w:rPr>
      </w:pPr>
    </w:p>
    <w:p w14:paraId="772359FB">
      <w:pPr>
        <w:rPr>
          <w:rFonts w:hint="eastAsia" w:ascii="宋体" w:hAnsi="宋体" w:cs="宋体"/>
          <w:color w:val="000000" w:themeColor="text1"/>
          <w:highlight w:val="none"/>
          <w:u w:val="none"/>
          <w14:textFill>
            <w14:solidFill>
              <w14:schemeClr w14:val="tx1"/>
            </w14:solidFill>
          </w14:textFill>
        </w:rPr>
      </w:pPr>
    </w:p>
    <w:p w14:paraId="604172C2">
      <w:pPr>
        <w:rPr>
          <w:rFonts w:hint="eastAsia" w:ascii="仿宋" w:hAnsi="仿宋" w:eastAsia="仿宋" w:cs="仿宋"/>
          <w:b/>
          <w:bCs/>
          <w:color w:val="000000" w:themeColor="text1"/>
          <w:highlight w:val="none"/>
          <w:u w:val="none"/>
          <w:lang w:val="en-US" w:eastAsia="zh-CN"/>
          <w14:textFill>
            <w14:solidFill>
              <w14:schemeClr w14:val="tx1"/>
            </w14:solidFill>
          </w14:textFill>
        </w:rPr>
      </w:pPr>
      <w:r>
        <w:rPr>
          <w:rFonts w:hint="eastAsia" w:ascii="仿宋" w:hAnsi="仿宋" w:eastAsia="仿宋" w:cs="仿宋"/>
          <w:b/>
          <w:bCs/>
          <w:color w:val="000000" w:themeColor="text1"/>
          <w:highlight w:val="none"/>
          <w:u w:val="none"/>
          <w14:textFill>
            <w14:solidFill>
              <w14:schemeClr w14:val="tx1"/>
            </w14:solidFill>
          </w14:textFill>
        </w:rPr>
        <w:t>注：投标人提供合同协议复印件</w:t>
      </w:r>
      <w:r>
        <w:rPr>
          <w:rFonts w:hint="eastAsia" w:ascii="仿宋" w:hAnsi="仿宋" w:eastAsia="仿宋" w:cs="仿宋"/>
          <w:b/>
          <w:bCs/>
          <w:color w:val="000000" w:themeColor="text1"/>
          <w:highlight w:val="none"/>
          <w:u w:val="none"/>
          <w:lang w:val="en-US" w:eastAsia="zh-CN"/>
          <w14:textFill>
            <w14:solidFill>
              <w14:schemeClr w14:val="tx1"/>
            </w14:solidFill>
          </w14:textFill>
        </w:rPr>
        <w:t>，加盖公章。</w:t>
      </w:r>
    </w:p>
    <w:p w14:paraId="4BCF4E11">
      <w:pPr>
        <w:rPr>
          <w:rFonts w:hint="eastAsia"/>
        </w:rPr>
      </w:pPr>
    </w:p>
    <w:p w14:paraId="30C8B766">
      <w:pPr>
        <w:jc w:val="center"/>
        <w:rPr>
          <w:rFonts w:hint="eastAsia" w:ascii="仿宋" w:hAnsi="仿宋" w:eastAsia="仿宋" w:cs="仿宋"/>
          <w:color w:val="auto"/>
          <w:sz w:val="30"/>
          <w:szCs w:val="30"/>
          <w:highlight w:val="none"/>
        </w:rPr>
      </w:pPr>
    </w:p>
    <w:p w14:paraId="2E0F7EFF">
      <w:pPr>
        <w:jc w:val="center"/>
        <w:rPr>
          <w:rFonts w:hint="eastAsia" w:ascii="仿宋" w:hAnsi="仿宋" w:eastAsia="仿宋" w:cs="仿宋"/>
          <w:color w:val="auto"/>
          <w:sz w:val="30"/>
          <w:szCs w:val="30"/>
          <w:highlight w:val="none"/>
        </w:rPr>
      </w:pPr>
    </w:p>
    <w:p w14:paraId="6DB7114B">
      <w:pPr>
        <w:jc w:val="center"/>
        <w:rPr>
          <w:rFonts w:hint="eastAsia" w:ascii="仿宋" w:hAnsi="仿宋" w:eastAsia="仿宋" w:cs="仿宋"/>
          <w:color w:val="auto"/>
          <w:sz w:val="30"/>
          <w:szCs w:val="30"/>
          <w:highlight w:val="none"/>
        </w:rPr>
      </w:pPr>
    </w:p>
    <w:p w14:paraId="7237AFC0">
      <w:pPr>
        <w:jc w:val="left"/>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58FEF0FA">
      <w:pPr>
        <w:spacing w:before="200" w:beforeLines="0" w:after="200" w:afterLines="0" w:line="560" w:lineRule="exact"/>
        <w:jc w:val="both"/>
        <w:outlineLvl w:val="1"/>
        <w:rPr>
          <w:rFonts w:hint="eastAsia" w:ascii="仿宋" w:hAnsi="仿宋" w:eastAsia="仿宋" w:cs="仿宋"/>
          <w:b/>
          <w:bCs w:val="0"/>
          <w:color w:val="auto"/>
          <w:sz w:val="30"/>
          <w:szCs w:val="30"/>
          <w:highlight w:val="none"/>
        </w:rPr>
      </w:pPr>
      <w:r>
        <w:rPr>
          <w:rFonts w:hint="eastAsia" w:ascii="仿宋" w:hAnsi="仿宋" w:eastAsia="仿宋" w:cs="仿宋"/>
          <w:b/>
          <w:bCs w:val="0"/>
          <w:color w:val="auto"/>
          <w:sz w:val="30"/>
          <w:szCs w:val="30"/>
          <w:highlight w:val="none"/>
        </w:rPr>
        <w:t>法定代表人</w:t>
      </w:r>
      <w:r>
        <w:rPr>
          <w:rFonts w:hint="eastAsia" w:ascii="仿宋" w:hAnsi="仿宋" w:eastAsia="仿宋" w:cs="仿宋"/>
          <w:b/>
          <w:bCs w:val="0"/>
          <w:color w:val="auto"/>
          <w:sz w:val="30"/>
          <w:szCs w:val="30"/>
          <w:highlight w:val="none"/>
          <w:lang w:val="en-US" w:eastAsia="zh-CN"/>
        </w:rPr>
        <w:t>身份证复印件</w:t>
      </w:r>
      <w:r>
        <w:rPr>
          <w:rFonts w:hint="eastAsia" w:ascii="仿宋" w:hAnsi="仿宋" w:eastAsia="仿宋" w:cs="仿宋"/>
          <w:b/>
          <w:bCs w:val="0"/>
          <w:color w:val="auto"/>
          <w:sz w:val="30"/>
          <w:szCs w:val="30"/>
          <w:highlight w:val="none"/>
        </w:rPr>
        <w:t>（适用于无委托代理人的情况）</w:t>
      </w:r>
    </w:p>
    <w:p w14:paraId="20319E54">
      <w:pPr>
        <w:pStyle w:val="7"/>
        <w:rPr>
          <w:rFonts w:hint="eastAsia" w:ascii="仿宋" w:hAnsi="仿宋" w:eastAsia="仿宋" w:cs="仿宋"/>
          <w:color w:val="auto"/>
          <w:highlight w:val="none"/>
        </w:rPr>
      </w:pPr>
    </w:p>
    <w:p w14:paraId="582DA23B">
      <w:pPr>
        <w:jc w:val="center"/>
        <w:rPr>
          <w:rFonts w:hint="eastAsia" w:ascii="仿宋" w:hAnsi="仿宋" w:eastAsia="仿宋" w:cs="仿宋"/>
          <w:color w:val="auto"/>
          <w:sz w:val="22"/>
          <w:highlight w:val="none"/>
        </w:rPr>
      </w:pPr>
    </w:p>
    <w:p w14:paraId="5FB0B5AB">
      <w:pPr>
        <w:jc w:val="center"/>
        <w:rPr>
          <w:rFonts w:hint="eastAsia" w:ascii="仿宋" w:hAnsi="仿宋" w:eastAsia="仿宋" w:cs="仿宋"/>
          <w:color w:val="auto"/>
          <w:sz w:val="22"/>
          <w:highlight w:val="none"/>
        </w:rPr>
      </w:pPr>
    </w:p>
    <w:p w14:paraId="28743AE3">
      <w:pPr>
        <w:jc w:val="center"/>
        <w:rPr>
          <w:rFonts w:hint="eastAsia" w:ascii="仿宋" w:hAnsi="仿宋" w:eastAsia="仿宋" w:cs="仿宋"/>
          <w:color w:val="auto"/>
          <w:sz w:val="22"/>
          <w:highlight w:val="none"/>
        </w:rPr>
      </w:pPr>
    </w:p>
    <w:p w14:paraId="62BB4A65">
      <w:pPr>
        <w:jc w:val="center"/>
        <w:rPr>
          <w:rFonts w:hint="eastAsia" w:ascii="仿宋" w:hAnsi="仿宋" w:eastAsia="仿宋" w:cs="仿宋"/>
          <w:color w:val="auto"/>
          <w:sz w:val="22"/>
          <w:highlight w:val="none"/>
        </w:rPr>
      </w:pPr>
    </w:p>
    <w:p w14:paraId="23F76453">
      <w:pPr>
        <w:jc w:val="center"/>
        <w:rPr>
          <w:rFonts w:hint="eastAsia" w:ascii="仿宋" w:hAnsi="仿宋" w:eastAsia="仿宋" w:cs="仿宋"/>
          <w:color w:val="auto"/>
          <w:sz w:val="22"/>
          <w:highlight w:val="none"/>
        </w:rPr>
      </w:pPr>
    </w:p>
    <w:p w14:paraId="29C8882B">
      <w:pPr>
        <w:jc w:val="center"/>
        <w:rPr>
          <w:rFonts w:hint="eastAsia" w:ascii="仿宋" w:hAnsi="仿宋" w:eastAsia="仿宋" w:cs="仿宋"/>
          <w:color w:val="auto"/>
          <w:sz w:val="22"/>
          <w:highlight w:val="none"/>
        </w:rPr>
      </w:pPr>
    </w:p>
    <w:p w14:paraId="399A9D5B">
      <w:pPr>
        <w:jc w:val="center"/>
        <w:rPr>
          <w:rFonts w:hint="eastAsia" w:ascii="仿宋" w:hAnsi="仿宋" w:eastAsia="仿宋" w:cs="仿宋"/>
          <w:color w:val="auto"/>
          <w:sz w:val="22"/>
          <w:highlight w:val="none"/>
        </w:rPr>
      </w:pPr>
    </w:p>
    <w:p w14:paraId="67EF66A0">
      <w:pPr>
        <w:jc w:val="center"/>
        <w:rPr>
          <w:rFonts w:hint="eastAsia" w:ascii="仿宋" w:hAnsi="仿宋" w:eastAsia="仿宋" w:cs="仿宋"/>
          <w:color w:val="auto"/>
          <w:sz w:val="22"/>
          <w:highlight w:val="none"/>
        </w:rPr>
      </w:pPr>
    </w:p>
    <w:p w14:paraId="569BF76D">
      <w:pPr>
        <w:jc w:val="center"/>
        <w:rPr>
          <w:rFonts w:hint="eastAsia" w:ascii="仿宋" w:hAnsi="仿宋" w:eastAsia="仿宋" w:cs="仿宋"/>
          <w:color w:val="auto"/>
          <w:sz w:val="22"/>
          <w:highlight w:val="none"/>
        </w:rPr>
      </w:pPr>
    </w:p>
    <w:p w14:paraId="3862232D">
      <w:pPr>
        <w:jc w:val="center"/>
        <w:rPr>
          <w:rFonts w:hint="eastAsia" w:ascii="仿宋" w:hAnsi="仿宋" w:eastAsia="仿宋" w:cs="仿宋"/>
          <w:color w:val="auto"/>
          <w:sz w:val="22"/>
          <w:highlight w:val="none"/>
        </w:rPr>
      </w:pPr>
    </w:p>
    <w:p w14:paraId="1D258B7B">
      <w:pPr>
        <w:jc w:val="center"/>
        <w:rPr>
          <w:rFonts w:hint="eastAsia" w:ascii="仿宋" w:hAnsi="仿宋" w:eastAsia="仿宋" w:cs="仿宋"/>
          <w:color w:val="auto"/>
          <w:sz w:val="22"/>
          <w:highlight w:val="none"/>
        </w:rPr>
      </w:pPr>
    </w:p>
    <w:p w14:paraId="75358FAA">
      <w:pPr>
        <w:jc w:val="center"/>
        <w:rPr>
          <w:rFonts w:hint="eastAsia" w:ascii="仿宋" w:hAnsi="仿宋" w:eastAsia="仿宋" w:cs="仿宋"/>
          <w:color w:val="auto"/>
          <w:sz w:val="22"/>
          <w:highlight w:val="none"/>
        </w:rPr>
      </w:pPr>
    </w:p>
    <w:p w14:paraId="69B5E068">
      <w:pPr>
        <w:jc w:val="center"/>
        <w:rPr>
          <w:rFonts w:hint="eastAsia" w:ascii="仿宋" w:hAnsi="仿宋" w:eastAsia="仿宋" w:cs="仿宋"/>
          <w:color w:val="auto"/>
          <w:sz w:val="22"/>
          <w:highlight w:val="none"/>
        </w:rPr>
      </w:pPr>
    </w:p>
    <w:p w14:paraId="13DC5444">
      <w:pPr>
        <w:jc w:val="center"/>
        <w:rPr>
          <w:rFonts w:hint="eastAsia" w:ascii="仿宋" w:hAnsi="仿宋" w:eastAsia="仿宋" w:cs="仿宋"/>
          <w:color w:val="auto"/>
          <w:sz w:val="22"/>
          <w:highlight w:val="none"/>
        </w:rPr>
      </w:pPr>
    </w:p>
    <w:p w14:paraId="3620F67C">
      <w:pPr>
        <w:jc w:val="center"/>
        <w:rPr>
          <w:rFonts w:hint="eastAsia" w:ascii="仿宋" w:hAnsi="仿宋" w:eastAsia="仿宋" w:cs="仿宋"/>
          <w:color w:val="auto"/>
          <w:sz w:val="22"/>
          <w:highlight w:val="none"/>
        </w:rPr>
      </w:pPr>
    </w:p>
    <w:p w14:paraId="537C7291">
      <w:pPr>
        <w:jc w:val="center"/>
        <w:rPr>
          <w:rFonts w:hint="eastAsia" w:ascii="仿宋" w:hAnsi="仿宋" w:eastAsia="仿宋" w:cs="仿宋"/>
          <w:color w:val="auto"/>
          <w:sz w:val="22"/>
          <w:highlight w:val="none"/>
        </w:rPr>
      </w:pPr>
    </w:p>
    <w:p w14:paraId="6082563B">
      <w:pPr>
        <w:jc w:val="center"/>
        <w:rPr>
          <w:rFonts w:hint="eastAsia" w:ascii="仿宋" w:hAnsi="仿宋" w:eastAsia="仿宋" w:cs="仿宋"/>
          <w:color w:val="auto"/>
          <w:sz w:val="22"/>
          <w:highlight w:val="none"/>
        </w:rPr>
      </w:pPr>
    </w:p>
    <w:p w14:paraId="72468D9A">
      <w:pPr>
        <w:pStyle w:val="7"/>
        <w:rPr>
          <w:rFonts w:hint="eastAsia" w:ascii="仿宋" w:hAnsi="仿宋" w:eastAsia="仿宋" w:cs="仿宋"/>
          <w:color w:val="auto"/>
          <w:sz w:val="22"/>
          <w:highlight w:val="none"/>
        </w:rPr>
      </w:pPr>
    </w:p>
    <w:p w14:paraId="5BCF3421">
      <w:pPr>
        <w:rPr>
          <w:rFonts w:hint="eastAsia" w:ascii="仿宋" w:hAnsi="仿宋" w:eastAsia="仿宋" w:cs="仿宋"/>
          <w:color w:val="auto"/>
          <w:sz w:val="22"/>
          <w:highlight w:val="none"/>
        </w:rPr>
      </w:pPr>
    </w:p>
    <w:p w14:paraId="4BC84BDD">
      <w:pPr>
        <w:pStyle w:val="7"/>
        <w:rPr>
          <w:rFonts w:hint="eastAsia" w:ascii="仿宋" w:hAnsi="仿宋" w:eastAsia="仿宋" w:cs="仿宋"/>
          <w:color w:val="auto"/>
          <w:sz w:val="22"/>
          <w:highlight w:val="none"/>
        </w:rPr>
      </w:pPr>
    </w:p>
    <w:p w14:paraId="38262735">
      <w:pPr>
        <w:rPr>
          <w:rFonts w:hint="eastAsia" w:ascii="仿宋" w:hAnsi="仿宋" w:eastAsia="仿宋" w:cs="仿宋"/>
          <w:color w:val="auto"/>
          <w:sz w:val="22"/>
          <w:highlight w:val="none"/>
        </w:rPr>
      </w:pPr>
    </w:p>
    <w:p w14:paraId="63435A03">
      <w:pPr>
        <w:pStyle w:val="7"/>
        <w:rPr>
          <w:rFonts w:hint="eastAsia" w:ascii="仿宋" w:hAnsi="仿宋" w:eastAsia="仿宋" w:cs="仿宋"/>
          <w:color w:val="auto"/>
          <w:sz w:val="22"/>
          <w:highlight w:val="none"/>
        </w:rPr>
      </w:pPr>
    </w:p>
    <w:p w14:paraId="4D85BF75">
      <w:pPr>
        <w:rPr>
          <w:rFonts w:hint="eastAsia" w:ascii="仿宋" w:hAnsi="仿宋" w:eastAsia="仿宋" w:cs="仿宋"/>
          <w:color w:val="auto"/>
          <w:sz w:val="22"/>
          <w:highlight w:val="none"/>
        </w:rPr>
      </w:pPr>
    </w:p>
    <w:p w14:paraId="00921D54">
      <w:pPr>
        <w:pStyle w:val="7"/>
        <w:rPr>
          <w:rFonts w:hint="eastAsia" w:ascii="仿宋" w:hAnsi="仿宋" w:eastAsia="仿宋" w:cs="仿宋"/>
          <w:color w:val="auto"/>
          <w:highlight w:val="none"/>
        </w:rPr>
      </w:pPr>
    </w:p>
    <w:p w14:paraId="3E7E0DE5">
      <w:pPr>
        <w:jc w:val="center"/>
        <w:rPr>
          <w:rFonts w:hint="eastAsia" w:ascii="仿宋" w:hAnsi="仿宋" w:eastAsia="仿宋" w:cs="仿宋"/>
          <w:color w:val="auto"/>
          <w:sz w:val="22"/>
          <w:highlight w:val="none"/>
        </w:rPr>
      </w:pPr>
    </w:p>
    <w:p w14:paraId="5290A99B">
      <w:pPr>
        <w:jc w:val="center"/>
        <w:rPr>
          <w:rFonts w:hint="eastAsia" w:ascii="仿宋" w:hAnsi="仿宋" w:eastAsia="仿宋" w:cs="仿宋"/>
          <w:color w:val="auto"/>
          <w:sz w:val="22"/>
          <w:highlight w:val="none"/>
        </w:rPr>
      </w:pPr>
    </w:p>
    <w:p w14:paraId="65530F57">
      <w:pPr>
        <w:jc w:val="center"/>
        <w:rPr>
          <w:rFonts w:hint="eastAsia" w:ascii="仿宋" w:hAnsi="仿宋" w:eastAsia="仿宋" w:cs="仿宋"/>
          <w:color w:val="auto"/>
          <w:sz w:val="22"/>
          <w:highlight w:val="none"/>
        </w:rPr>
      </w:pPr>
    </w:p>
    <w:p w14:paraId="6311F35D">
      <w:pPr>
        <w:jc w:val="center"/>
        <w:rPr>
          <w:rFonts w:hint="eastAsia" w:ascii="仿宋" w:hAnsi="仿宋" w:eastAsia="仿宋" w:cs="仿宋"/>
          <w:color w:val="auto"/>
          <w:sz w:val="22"/>
          <w:highlight w:val="none"/>
        </w:rPr>
      </w:pPr>
    </w:p>
    <w:p w14:paraId="6E181ADF">
      <w:pPr>
        <w:jc w:val="center"/>
        <w:rPr>
          <w:rFonts w:hint="eastAsia" w:ascii="仿宋" w:hAnsi="仿宋" w:eastAsia="仿宋" w:cs="仿宋"/>
          <w:color w:val="auto"/>
          <w:sz w:val="22"/>
          <w:highlight w:val="none"/>
        </w:rPr>
      </w:pPr>
    </w:p>
    <w:p w14:paraId="3FD03106">
      <w:pPr>
        <w:jc w:val="center"/>
        <w:rPr>
          <w:rFonts w:hint="eastAsia" w:ascii="仿宋" w:hAnsi="仿宋" w:eastAsia="仿宋" w:cs="仿宋"/>
          <w:color w:val="auto"/>
          <w:sz w:val="22"/>
          <w:highlight w:val="none"/>
        </w:rPr>
      </w:pPr>
    </w:p>
    <w:p w14:paraId="68EBE2F6">
      <w:pPr>
        <w:jc w:val="center"/>
        <w:rPr>
          <w:rFonts w:hint="eastAsia" w:ascii="仿宋" w:hAnsi="仿宋" w:eastAsia="仿宋" w:cs="仿宋"/>
          <w:color w:val="auto"/>
          <w:sz w:val="22"/>
          <w:highlight w:val="none"/>
        </w:rPr>
      </w:pPr>
    </w:p>
    <w:p w14:paraId="24A80527">
      <w:pPr>
        <w:jc w:val="center"/>
        <w:rPr>
          <w:rFonts w:hint="eastAsia" w:ascii="仿宋" w:hAnsi="仿宋" w:eastAsia="仿宋" w:cs="仿宋"/>
          <w:color w:val="auto"/>
          <w:sz w:val="22"/>
          <w:highlight w:val="none"/>
        </w:rPr>
      </w:pPr>
    </w:p>
    <w:p w14:paraId="1A83C829">
      <w:pPr>
        <w:pStyle w:val="7"/>
        <w:rPr>
          <w:rFonts w:hint="eastAsia" w:ascii="仿宋" w:hAnsi="仿宋" w:eastAsia="仿宋" w:cs="仿宋"/>
          <w:color w:val="auto"/>
          <w:sz w:val="22"/>
          <w:highlight w:val="none"/>
        </w:rPr>
      </w:pPr>
    </w:p>
    <w:p w14:paraId="58AE4332">
      <w:pPr>
        <w:rPr>
          <w:rFonts w:hint="eastAsia" w:ascii="仿宋" w:hAnsi="仿宋" w:eastAsia="仿宋" w:cs="仿宋"/>
          <w:color w:val="auto"/>
          <w:highlight w:val="none"/>
        </w:rPr>
      </w:pPr>
    </w:p>
    <w:p w14:paraId="1BE254B7">
      <w:pPr>
        <w:jc w:val="center"/>
        <w:rPr>
          <w:rFonts w:hint="eastAsia" w:ascii="仿宋" w:hAnsi="仿宋" w:eastAsia="仿宋" w:cs="仿宋"/>
          <w:color w:val="auto"/>
          <w:sz w:val="22"/>
          <w:highlight w:val="none"/>
        </w:rPr>
      </w:pPr>
    </w:p>
    <w:p w14:paraId="18903C30">
      <w:pPr>
        <w:jc w:val="center"/>
        <w:rPr>
          <w:rFonts w:hint="eastAsia" w:ascii="仿宋" w:hAnsi="仿宋" w:eastAsia="仿宋" w:cs="仿宋"/>
          <w:color w:val="auto"/>
          <w:sz w:val="22"/>
          <w:highlight w:val="none"/>
        </w:rPr>
      </w:pPr>
    </w:p>
    <w:p w14:paraId="1D1F25BE">
      <w:pPr>
        <w:topLinePunct/>
        <w:spacing w:line="440" w:lineRule="exact"/>
        <w:ind w:firstLine="0" w:firstLineChars="0"/>
        <w:rPr>
          <w:rFonts w:hint="eastAsia" w:ascii="仿宋" w:hAnsi="仿宋" w:eastAsia="仿宋" w:cs="仿宋"/>
          <w:b/>
          <w:color w:val="auto"/>
          <w:szCs w:val="21"/>
          <w:highlight w:val="none"/>
          <w:lang w:val="en-US" w:eastAsia="zh-CN"/>
        </w:rPr>
      </w:pPr>
    </w:p>
    <w:p w14:paraId="2B3EEB40">
      <w:pPr>
        <w:topLinePunct/>
        <w:spacing w:line="440" w:lineRule="exact"/>
        <w:ind w:firstLine="0" w:firstLineChars="0"/>
        <w:rPr>
          <w:rFonts w:hint="eastAsia" w:ascii="仿宋" w:hAnsi="仿宋" w:eastAsia="仿宋" w:cs="仿宋"/>
          <w:b/>
          <w:color w:val="auto"/>
          <w:szCs w:val="21"/>
          <w:highlight w:val="none"/>
        </w:rPr>
      </w:pPr>
      <w:r>
        <w:rPr>
          <w:rFonts w:hint="eastAsia" w:ascii="仿宋" w:hAnsi="仿宋" w:eastAsia="仿宋" w:cs="仿宋"/>
          <w:b/>
          <w:color w:val="auto"/>
          <w:szCs w:val="21"/>
          <w:highlight w:val="none"/>
          <w:lang w:val="en-US" w:eastAsia="zh-CN"/>
        </w:rPr>
        <w:t>注</w:t>
      </w:r>
      <w:r>
        <w:rPr>
          <w:rFonts w:hint="eastAsia" w:ascii="仿宋" w:hAnsi="仿宋" w:eastAsia="仿宋" w:cs="仿宋"/>
          <w:b/>
          <w:color w:val="auto"/>
          <w:szCs w:val="21"/>
          <w:highlight w:val="none"/>
        </w:rPr>
        <w:t>：</w:t>
      </w:r>
      <w:r>
        <w:rPr>
          <w:rFonts w:hint="eastAsia" w:ascii="仿宋" w:hAnsi="仿宋" w:eastAsia="仿宋" w:cs="仿宋"/>
          <w:b/>
          <w:color w:val="auto"/>
          <w:szCs w:val="21"/>
          <w:highlight w:val="none"/>
          <w:lang w:val="en-US" w:eastAsia="zh-CN"/>
        </w:rPr>
        <w:t>需提供</w:t>
      </w:r>
      <w:r>
        <w:rPr>
          <w:rFonts w:hint="eastAsia" w:ascii="仿宋" w:hAnsi="仿宋" w:eastAsia="仿宋" w:cs="仿宋"/>
          <w:b/>
          <w:color w:val="auto"/>
          <w:szCs w:val="21"/>
          <w:highlight w:val="none"/>
        </w:rPr>
        <w:t>法定代表人身份证复印件</w:t>
      </w:r>
      <w:r>
        <w:rPr>
          <w:rFonts w:hint="eastAsia" w:ascii="仿宋" w:hAnsi="仿宋" w:eastAsia="仿宋" w:cs="仿宋"/>
          <w:b/>
          <w:color w:val="auto"/>
          <w:szCs w:val="21"/>
          <w:highlight w:val="none"/>
          <w:lang w:val="en-US" w:eastAsia="zh-CN"/>
        </w:rPr>
        <w:t>正反面，加盖公章</w:t>
      </w:r>
      <w:r>
        <w:rPr>
          <w:rFonts w:hint="eastAsia" w:ascii="仿宋" w:hAnsi="仿宋" w:eastAsia="仿宋" w:cs="仿宋"/>
          <w:b/>
          <w:color w:val="auto"/>
          <w:szCs w:val="21"/>
          <w:highlight w:val="none"/>
        </w:rPr>
        <w:t>。</w:t>
      </w:r>
    </w:p>
    <w:p w14:paraId="20E35EDE">
      <w:pPr>
        <w:jc w:val="left"/>
        <w:outlineLvl w:val="9"/>
        <w:rPr>
          <w:rFonts w:hint="eastAsia" w:ascii="仿宋" w:hAnsi="仿宋" w:eastAsia="仿宋" w:cs="仿宋"/>
          <w:b/>
          <w:bCs/>
          <w:color w:val="auto"/>
          <w:sz w:val="30"/>
          <w:szCs w:val="30"/>
          <w:highlight w:val="none"/>
        </w:rPr>
      </w:pPr>
      <w:bookmarkStart w:id="103" w:name="_Toc21559"/>
      <w:r>
        <w:rPr>
          <w:rFonts w:hint="eastAsia" w:ascii="仿宋" w:hAnsi="仿宋" w:eastAsia="仿宋" w:cs="仿宋"/>
          <w:b/>
          <w:bCs/>
          <w:color w:val="auto"/>
          <w:sz w:val="30"/>
          <w:szCs w:val="30"/>
          <w:highlight w:val="none"/>
        </w:rPr>
        <w:br w:type="page"/>
      </w:r>
    </w:p>
    <w:p w14:paraId="465B27F9">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4" w:name="_Toc21392"/>
      <w:r>
        <w:rPr>
          <w:rFonts w:hint="eastAsia" w:ascii="仿宋" w:hAnsi="仿宋" w:eastAsia="仿宋" w:cs="仿宋"/>
          <w:b/>
          <w:bCs w:val="0"/>
          <w:color w:val="auto"/>
          <w:sz w:val="30"/>
          <w:szCs w:val="30"/>
          <w:highlight w:val="none"/>
        </w:rPr>
        <w:t>授权委托书（适用于有委托代理人的情况）</w:t>
      </w:r>
      <w:bookmarkEnd w:id="103"/>
      <w:bookmarkEnd w:id="104"/>
    </w:p>
    <w:p w14:paraId="2927539B">
      <w:pPr>
        <w:pStyle w:val="9"/>
        <w:ind w:firstLine="0" w:firstLineChars="0"/>
        <w:rPr>
          <w:rFonts w:hint="eastAsia" w:ascii="仿宋" w:hAnsi="仿宋" w:eastAsia="仿宋" w:cs="仿宋"/>
          <w:color w:val="auto"/>
          <w:szCs w:val="24"/>
          <w:highlight w:val="none"/>
        </w:rPr>
      </w:pPr>
    </w:p>
    <w:p w14:paraId="385986DE">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本人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val="en-US" w:eastAsia="zh-CN"/>
        </w:rPr>
        <w:t>响应单位</w:t>
      </w:r>
      <w:r>
        <w:rPr>
          <w:rFonts w:hint="eastAsia" w:ascii="仿宋" w:hAnsi="仿宋" w:eastAsia="仿宋" w:cs="仿宋"/>
          <w:color w:val="auto"/>
          <w:sz w:val="24"/>
          <w:highlight w:val="none"/>
          <w:u w:val="single"/>
        </w:rPr>
        <w:t xml:space="preserve">名称） </w:t>
      </w:r>
      <w:r>
        <w:rPr>
          <w:rFonts w:hint="eastAsia" w:ascii="仿宋" w:hAnsi="仿宋" w:eastAsia="仿宋" w:cs="仿宋"/>
          <w:color w:val="auto"/>
          <w:sz w:val="24"/>
          <w:highlight w:val="none"/>
        </w:rPr>
        <w:t>的法定代表人/单位负责人，现委托</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姓名</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为我方授权代理人。代理人根据授权，以我方名义签署、澄清、确认、递交、撤回、修改</w:t>
      </w:r>
      <w:r>
        <w:rPr>
          <w:rFonts w:hint="eastAsia" w:ascii="仿宋" w:hAnsi="仿宋" w:eastAsia="仿宋" w:cs="仿宋"/>
          <w:color w:val="auto"/>
          <w:sz w:val="24"/>
          <w:highlight w:val="none"/>
          <w:u w:val="single"/>
          <w:lang w:eastAsia="zh-CN"/>
        </w:rPr>
        <w:t>赣州景区建设运营有限公司调料类产品2026</w:t>
      </w:r>
      <w:r>
        <w:rPr>
          <w:rFonts w:hint="eastAsia" w:ascii="仿宋" w:hAnsi="仿宋" w:eastAsia="仿宋" w:cs="仿宋"/>
          <w:color w:val="auto"/>
          <w:sz w:val="24"/>
          <w:highlight w:val="none"/>
          <w:u w:val="single"/>
          <w:lang w:val="en-US" w:eastAsia="zh-CN"/>
        </w:rPr>
        <w:t>-2027</w:t>
      </w:r>
      <w:r>
        <w:rPr>
          <w:rFonts w:hint="eastAsia" w:ascii="仿宋" w:hAnsi="仿宋" w:eastAsia="仿宋" w:cs="仿宋"/>
          <w:color w:val="auto"/>
          <w:sz w:val="24"/>
          <w:highlight w:val="none"/>
          <w:u w:val="single"/>
          <w:lang w:eastAsia="zh-CN"/>
        </w:rPr>
        <w:t>年度框架协议供应商入围征集项目</w:t>
      </w:r>
      <w:r>
        <w:rPr>
          <w:rFonts w:hint="eastAsia" w:ascii="仿宋" w:hAnsi="仿宋" w:eastAsia="仿宋" w:cs="仿宋"/>
          <w:color w:val="auto"/>
          <w:sz w:val="24"/>
          <w:highlight w:val="none"/>
        </w:rPr>
        <w:t>报价文件</w:t>
      </w:r>
      <w:r>
        <w:rPr>
          <w:rFonts w:hint="eastAsia" w:ascii="仿宋" w:hAnsi="仿宋" w:eastAsia="仿宋" w:cs="仿宋"/>
          <w:color w:val="auto"/>
          <w:sz w:val="24"/>
          <w:highlight w:val="none"/>
          <w:lang w:val="en-US" w:eastAsia="zh-CN"/>
        </w:rPr>
        <w:t>以及</w:t>
      </w:r>
      <w:r>
        <w:rPr>
          <w:rFonts w:hint="eastAsia" w:ascii="仿宋" w:hAnsi="仿宋" w:eastAsia="仿宋" w:cs="仿宋"/>
          <w:color w:val="auto"/>
          <w:sz w:val="24"/>
          <w:highlight w:val="none"/>
        </w:rPr>
        <w:t>签订合同和处理有关事宜，其法律后果由我方承担。</w:t>
      </w:r>
    </w:p>
    <w:p w14:paraId="4D8891AF">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委托期限：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日至</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1630A34C">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w:t>
      </w:r>
    </w:p>
    <w:p w14:paraId="5C936258">
      <w:pPr>
        <w:spacing w:line="360" w:lineRule="auto"/>
        <w:ind w:firstLine="480"/>
        <w:rPr>
          <w:rFonts w:hint="eastAsia" w:ascii="仿宋" w:hAnsi="仿宋" w:eastAsia="仿宋" w:cs="仿宋"/>
          <w:color w:val="auto"/>
          <w:sz w:val="24"/>
          <w:highlight w:val="none"/>
        </w:rPr>
      </w:pPr>
    </w:p>
    <w:p w14:paraId="786F061A">
      <w:pPr>
        <w:pStyle w:val="7"/>
        <w:rPr>
          <w:rFonts w:hint="eastAsia" w:ascii="仿宋" w:hAnsi="仿宋" w:eastAsia="仿宋" w:cs="仿宋"/>
          <w:color w:val="auto"/>
          <w:sz w:val="24"/>
          <w:highlight w:val="none"/>
        </w:rPr>
      </w:pPr>
    </w:p>
    <w:p w14:paraId="56B1E370">
      <w:pPr>
        <w:rPr>
          <w:rFonts w:hint="eastAsia" w:ascii="仿宋" w:hAnsi="仿宋" w:eastAsia="仿宋" w:cs="仿宋"/>
          <w:color w:val="auto"/>
          <w:highlight w:val="none"/>
        </w:rPr>
      </w:pPr>
    </w:p>
    <w:p w14:paraId="4BAD8FDB">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rPr>
        <w:t>（单位公章）：</w:t>
      </w:r>
      <w:r>
        <w:rPr>
          <w:rFonts w:hint="eastAsia" w:ascii="仿宋" w:hAnsi="仿宋" w:eastAsia="仿宋" w:cs="仿宋"/>
          <w:color w:val="auto"/>
          <w:sz w:val="24"/>
          <w:highlight w:val="none"/>
          <w:u w:val="single"/>
        </w:rPr>
        <w:t xml:space="preserve">                            </w:t>
      </w:r>
    </w:p>
    <w:p w14:paraId="14001C77">
      <w:pPr>
        <w:spacing w:after="313" w:afterLines="100" w:line="520" w:lineRule="exact"/>
        <w:ind w:firstLine="3074" w:firstLineChars="128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60B64E42">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授权代理人（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p w14:paraId="72F42FD6">
      <w:pPr>
        <w:spacing w:after="313" w:afterLines="100" w:line="520" w:lineRule="exact"/>
        <w:ind w:firstLine="4800" w:firstLineChars="20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33DE0F93">
      <w:pPr>
        <w:spacing w:line="360" w:lineRule="auto"/>
        <w:ind w:firstLine="480"/>
        <w:rPr>
          <w:rFonts w:hint="eastAsia" w:ascii="仿宋" w:hAnsi="仿宋" w:eastAsia="仿宋" w:cs="仿宋"/>
          <w:color w:val="auto"/>
          <w:sz w:val="24"/>
          <w:highlight w:val="none"/>
        </w:rPr>
      </w:pPr>
    </w:p>
    <w:p w14:paraId="64B5AA74">
      <w:pPr>
        <w:spacing w:line="360" w:lineRule="auto"/>
        <w:ind w:firstLine="480"/>
        <w:rPr>
          <w:rFonts w:hint="eastAsia" w:ascii="仿宋" w:hAnsi="仿宋" w:eastAsia="仿宋" w:cs="仿宋"/>
          <w:color w:val="auto"/>
          <w:sz w:val="24"/>
          <w:highlight w:val="none"/>
        </w:rPr>
      </w:pPr>
    </w:p>
    <w:p w14:paraId="777ADFA1">
      <w:pPr>
        <w:spacing w:line="360" w:lineRule="auto"/>
        <w:ind w:firstLine="480"/>
        <w:rPr>
          <w:rFonts w:hint="eastAsia" w:ascii="仿宋" w:hAnsi="仿宋" w:eastAsia="仿宋" w:cs="仿宋"/>
          <w:color w:val="auto"/>
          <w:sz w:val="24"/>
          <w:highlight w:val="none"/>
        </w:rPr>
      </w:pPr>
    </w:p>
    <w:p w14:paraId="052B3445">
      <w:pPr>
        <w:pStyle w:val="7"/>
        <w:rPr>
          <w:rFonts w:hint="eastAsia" w:ascii="仿宋" w:hAnsi="仿宋" w:eastAsia="仿宋" w:cs="仿宋"/>
          <w:color w:val="auto"/>
          <w:sz w:val="24"/>
          <w:highlight w:val="none"/>
        </w:rPr>
      </w:pPr>
    </w:p>
    <w:p w14:paraId="518B5F26">
      <w:pPr>
        <w:spacing w:line="360" w:lineRule="auto"/>
        <w:ind w:firstLine="480"/>
        <w:rPr>
          <w:rFonts w:hint="eastAsia" w:ascii="仿宋" w:hAnsi="仿宋" w:eastAsia="仿宋" w:cs="仿宋"/>
          <w:color w:val="auto"/>
          <w:sz w:val="24"/>
          <w:highlight w:val="none"/>
        </w:rPr>
      </w:pPr>
    </w:p>
    <w:p w14:paraId="0BF753E4">
      <w:pPr>
        <w:spacing w:line="360" w:lineRule="auto"/>
        <w:ind w:firstLine="480"/>
        <w:rPr>
          <w:rFonts w:hint="eastAsia" w:ascii="仿宋" w:hAnsi="仿宋" w:eastAsia="仿宋" w:cs="仿宋"/>
          <w:color w:val="auto"/>
          <w:sz w:val="24"/>
          <w:highlight w:val="none"/>
        </w:rPr>
      </w:pPr>
    </w:p>
    <w:p w14:paraId="29DB1024">
      <w:pPr>
        <w:spacing w:line="360" w:lineRule="auto"/>
        <w:ind w:firstLine="0"/>
        <w:rPr>
          <w:rFonts w:hint="eastAsia" w:ascii="仿宋" w:hAnsi="仿宋" w:eastAsia="仿宋" w:cs="仿宋"/>
          <w:b/>
          <w:bCs/>
          <w:color w:val="auto"/>
          <w:sz w:val="24"/>
          <w:highlight w:val="none"/>
        </w:rPr>
      </w:pPr>
    </w:p>
    <w:p w14:paraId="4394C6BA">
      <w:pPr>
        <w:spacing w:line="360" w:lineRule="auto"/>
        <w:ind w:firstLine="0"/>
        <w:rPr>
          <w:rFonts w:hint="eastAsia" w:ascii="仿宋" w:hAnsi="仿宋" w:eastAsia="仿宋" w:cs="仿宋"/>
          <w:b/>
          <w:bCs/>
          <w:color w:val="auto"/>
          <w:sz w:val="24"/>
          <w:highlight w:val="none"/>
        </w:rPr>
      </w:pPr>
    </w:p>
    <w:p w14:paraId="43BE0B12">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附：法定代表人身份证复印件及委托代理人身份证复印件</w:t>
      </w:r>
    </w:p>
    <w:p w14:paraId="75F01813">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注：本授权委托书需由</w:t>
      </w:r>
      <w:r>
        <w:rPr>
          <w:rFonts w:hint="eastAsia" w:ascii="仿宋" w:hAnsi="仿宋" w:eastAsia="仿宋" w:cs="仿宋"/>
          <w:b/>
          <w:bCs/>
          <w:color w:val="auto"/>
          <w:sz w:val="24"/>
          <w:highlight w:val="none"/>
          <w:lang w:val="en-US" w:eastAsia="zh-CN"/>
        </w:rPr>
        <w:t>响应单位</w:t>
      </w:r>
      <w:r>
        <w:rPr>
          <w:rFonts w:hint="eastAsia" w:ascii="仿宋" w:hAnsi="仿宋" w:eastAsia="仿宋" w:cs="仿宋"/>
          <w:b/>
          <w:bCs/>
          <w:color w:val="auto"/>
          <w:sz w:val="24"/>
          <w:highlight w:val="none"/>
        </w:rPr>
        <w:t>加盖</w:t>
      </w:r>
      <w:r>
        <w:rPr>
          <w:rFonts w:hint="eastAsia" w:ascii="仿宋" w:hAnsi="仿宋" w:eastAsia="仿宋" w:cs="仿宋"/>
          <w:b/>
          <w:bCs/>
          <w:color w:val="auto"/>
          <w:sz w:val="24"/>
          <w:highlight w:val="none"/>
          <w:lang w:val="en-US" w:eastAsia="zh-CN"/>
        </w:rPr>
        <w:t>公司</w:t>
      </w:r>
      <w:r>
        <w:rPr>
          <w:rFonts w:hint="eastAsia" w:ascii="仿宋" w:hAnsi="仿宋" w:eastAsia="仿宋" w:cs="仿宋"/>
          <w:b/>
          <w:bCs/>
          <w:color w:val="auto"/>
          <w:sz w:val="24"/>
          <w:highlight w:val="none"/>
        </w:rPr>
        <w:t>公章并由其法定代表人</w:t>
      </w:r>
      <w:r>
        <w:rPr>
          <w:rFonts w:hint="eastAsia" w:ascii="仿宋" w:hAnsi="仿宋" w:eastAsia="仿宋" w:cs="仿宋"/>
          <w:b/>
          <w:bCs/>
          <w:color w:val="auto"/>
          <w:sz w:val="24"/>
          <w:highlight w:val="none"/>
          <w:lang w:eastAsia="zh-CN"/>
        </w:rPr>
        <w:t>签名</w:t>
      </w:r>
      <w:r>
        <w:rPr>
          <w:rFonts w:hint="eastAsia" w:ascii="仿宋" w:hAnsi="仿宋" w:eastAsia="仿宋" w:cs="仿宋"/>
          <w:b/>
          <w:bCs/>
          <w:color w:val="auto"/>
          <w:sz w:val="24"/>
          <w:highlight w:val="none"/>
        </w:rPr>
        <w:t>。</w:t>
      </w:r>
    </w:p>
    <w:p w14:paraId="01B6ABDA">
      <w:pPr>
        <w:spacing w:before="0" w:beforeLines="-2147483648" w:after="0" w:afterLines="-2147483648" w:line="240" w:lineRule="auto"/>
        <w:jc w:val="left"/>
        <w:outlineLvl w:val="9"/>
        <w:rPr>
          <w:rFonts w:hint="eastAsia" w:ascii="仿宋" w:hAnsi="仿宋" w:eastAsia="仿宋" w:cs="仿宋"/>
          <w:b/>
          <w:bCs w:val="0"/>
          <w:color w:val="auto"/>
          <w:sz w:val="30"/>
          <w:szCs w:val="30"/>
          <w:highlight w:val="none"/>
        </w:rPr>
      </w:pPr>
      <w:bookmarkStart w:id="105" w:name="_Toc2864"/>
      <w:r>
        <w:rPr>
          <w:rFonts w:hint="eastAsia" w:ascii="仿宋" w:hAnsi="仿宋" w:eastAsia="仿宋" w:cs="仿宋"/>
          <w:b/>
          <w:bCs w:val="0"/>
          <w:color w:val="auto"/>
          <w:sz w:val="30"/>
          <w:szCs w:val="30"/>
          <w:highlight w:val="none"/>
        </w:rPr>
        <w:br w:type="page"/>
      </w:r>
    </w:p>
    <w:p w14:paraId="05A77D83">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6" w:name="_Toc2516"/>
      <w:r>
        <w:rPr>
          <w:rFonts w:hint="eastAsia" w:ascii="仿宋" w:hAnsi="仿宋" w:eastAsia="仿宋" w:cs="仿宋"/>
          <w:b/>
          <w:bCs w:val="0"/>
          <w:color w:val="auto"/>
          <w:sz w:val="30"/>
          <w:szCs w:val="30"/>
          <w:highlight w:val="none"/>
        </w:rPr>
        <w:t>信誉承诺表</w:t>
      </w:r>
      <w:bookmarkEnd w:id="105"/>
      <w:bookmarkEnd w:id="106"/>
    </w:p>
    <w:p w14:paraId="78EC964A">
      <w:pPr>
        <w:ind w:firstLine="480"/>
        <w:rPr>
          <w:rFonts w:hint="eastAsia" w:ascii="仿宋" w:hAnsi="仿宋" w:eastAsia="仿宋" w:cs="仿宋"/>
          <w:color w:val="auto"/>
          <w:szCs w:val="24"/>
          <w:highlight w:val="none"/>
        </w:rPr>
      </w:pPr>
    </w:p>
    <w:tbl>
      <w:tblPr>
        <w:tblStyle w:val="23"/>
        <w:tblW w:w="83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50"/>
        <w:gridCol w:w="5849"/>
        <w:gridCol w:w="1422"/>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tblHeader/>
          <w:jc w:val="center"/>
        </w:trPr>
        <w:tc>
          <w:tcPr>
            <w:tcW w:w="1050" w:type="dxa"/>
            <w:tcBorders>
              <w:top w:val="single" w:color="auto" w:sz="12" w:space="0"/>
              <w:left w:val="single" w:color="auto" w:sz="12" w:space="0"/>
              <w:bottom w:val="single" w:color="auto" w:sz="6" w:space="0"/>
              <w:right w:val="single" w:color="auto" w:sz="6" w:space="0"/>
            </w:tcBorders>
            <w:vAlign w:val="center"/>
          </w:tcPr>
          <w:p w14:paraId="2F01D91B">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5849" w:type="dxa"/>
            <w:tcBorders>
              <w:top w:val="single" w:color="auto" w:sz="12" w:space="0"/>
              <w:left w:val="single" w:color="auto" w:sz="6" w:space="0"/>
              <w:bottom w:val="single" w:color="auto" w:sz="6" w:space="0"/>
              <w:right w:val="single" w:color="auto" w:sz="6" w:space="0"/>
            </w:tcBorders>
            <w:vAlign w:val="center"/>
          </w:tcPr>
          <w:p w14:paraId="1B5C6C98">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信誉内容</w:t>
            </w:r>
          </w:p>
        </w:tc>
        <w:tc>
          <w:tcPr>
            <w:tcW w:w="1422" w:type="dxa"/>
            <w:tcBorders>
              <w:top w:val="single" w:color="auto" w:sz="12" w:space="0"/>
              <w:left w:val="single" w:color="auto" w:sz="6" w:space="0"/>
              <w:bottom w:val="single" w:color="auto" w:sz="6" w:space="0"/>
              <w:right w:val="single" w:color="auto" w:sz="12" w:space="0"/>
            </w:tcBorders>
            <w:vAlign w:val="center"/>
          </w:tcPr>
          <w:p w14:paraId="55C37B12">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color w:val="auto"/>
                <w:szCs w:val="21"/>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28AD9606">
            <w:pPr>
              <w:autoSpaceDE w:val="0"/>
              <w:autoSpaceDN w:val="0"/>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5849" w:type="dxa"/>
            <w:tcBorders>
              <w:top w:val="single" w:color="auto" w:sz="6" w:space="0"/>
              <w:left w:val="single" w:color="auto" w:sz="6" w:space="0"/>
              <w:bottom w:val="single" w:color="auto" w:sz="6" w:space="0"/>
              <w:right w:val="single" w:color="auto" w:sz="6" w:space="0"/>
            </w:tcBorders>
            <w:vAlign w:val="center"/>
          </w:tcPr>
          <w:p w14:paraId="2137629E">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被责令停业，暂扣或吊销执照，或吊销资质证书</w:t>
            </w:r>
          </w:p>
        </w:tc>
        <w:tc>
          <w:tcPr>
            <w:tcW w:w="1422" w:type="dxa"/>
            <w:tcBorders>
              <w:top w:val="single" w:color="auto" w:sz="6" w:space="0"/>
              <w:left w:val="single" w:color="auto" w:sz="6" w:space="0"/>
              <w:bottom w:val="single" w:color="auto" w:sz="6" w:space="0"/>
              <w:right w:val="single" w:color="auto" w:sz="12" w:space="0"/>
            </w:tcBorders>
            <w:vAlign w:val="center"/>
          </w:tcPr>
          <w:p w14:paraId="45B9E3C2">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4"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3358947C">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5849" w:type="dxa"/>
            <w:tcBorders>
              <w:top w:val="single" w:color="auto" w:sz="6" w:space="0"/>
              <w:left w:val="single" w:color="auto" w:sz="6" w:space="0"/>
              <w:bottom w:val="single" w:color="auto" w:sz="6" w:space="0"/>
              <w:right w:val="single" w:color="auto" w:sz="6" w:space="0"/>
            </w:tcBorders>
            <w:vAlign w:val="center"/>
          </w:tcPr>
          <w:p w14:paraId="68C77CFF">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进入清算程序，或被宣告破产，或其他丧失履约能力的情形</w:t>
            </w:r>
          </w:p>
        </w:tc>
        <w:tc>
          <w:tcPr>
            <w:tcW w:w="1422" w:type="dxa"/>
            <w:tcBorders>
              <w:top w:val="single" w:color="auto" w:sz="6" w:space="0"/>
              <w:left w:val="single" w:color="auto" w:sz="6" w:space="0"/>
              <w:bottom w:val="single" w:color="auto" w:sz="6" w:space="0"/>
              <w:right w:val="single" w:color="auto" w:sz="12" w:space="0"/>
            </w:tcBorders>
            <w:vAlign w:val="center"/>
          </w:tcPr>
          <w:p w14:paraId="09E1954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5"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75A98CAB">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5849" w:type="dxa"/>
            <w:tcBorders>
              <w:top w:val="single" w:color="auto" w:sz="6" w:space="0"/>
              <w:left w:val="single" w:color="auto" w:sz="6" w:space="0"/>
              <w:bottom w:val="single" w:color="auto" w:sz="6" w:space="0"/>
              <w:right w:val="single" w:color="auto" w:sz="6" w:space="0"/>
            </w:tcBorders>
            <w:vAlign w:val="center"/>
          </w:tcPr>
          <w:p w14:paraId="75F7E539">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在国家企业信用信息公示系统</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"http://www.gsxt.gov.cn/"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（http://www.gsxt.gov.cn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）中被列入严重违法失信企业名单</w:t>
            </w:r>
          </w:p>
        </w:tc>
        <w:tc>
          <w:tcPr>
            <w:tcW w:w="1422" w:type="dxa"/>
            <w:tcBorders>
              <w:top w:val="single" w:color="auto" w:sz="6" w:space="0"/>
              <w:left w:val="single" w:color="auto" w:sz="6" w:space="0"/>
              <w:bottom w:val="single" w:color="auto" w:sz="6" w:space="0"/>
              <w:right w:val="single" w:color="auto" w:sz="12" w:space="0"/>
            </w:tcBorders>
            <w:vAlign w:val="center"/>
          </w:tcPr>
          <w:p w14:paraId="79C00BB6">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8" w:hRule="atLeast"/>
          <w:jc w:val="center"/>
        </w:trPr>
        <w:tc>
          <w:tcPr>
            <w:tcW w:w="1050" w:type="dxa"/>
            <w:tcBorders>
              <w:top w:val="single" w:color="auto" w:sz="6" w:space="0"/>
              <w:left w:val="single" w:color="auto" w:sz="12" w:space="0"/>
              <w:bottom w:val="single" w:color="auto" w:sz="12" w:space="0"/>
              <w:right w:val="single" w:color="auto" w:sz="6" w:space="0"/>
            </w:tcBorders>
            <w:vAlign w:val="center"/>
          </w:tcPr>
          <w:p w14:paraId="2D8007C6">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5849" w:type="dxa"/>
            <w:tcBorders>
              <w:top w:val="single" w:color="auto" w:sz="6" w:space="0"/>
              <w:left w:val="single" w:color="auto" w:sz="6" w:space="0"/>
              <w:bottom w:val="single" w:color="auto" w:sz="12" w:space="0"/>
              <w:right w:val="single" w:color="auto" w:sz="6" w:space="0"/>
            </w:tcBorders>
            <w:vAlign w:val="center"/>
          </w:tcPr>
          <w:p w14:paraId="6351EF78">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在信用中国网站（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"http://www.creditchina.gov.cn/"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http://www.creditchina.gov.cn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）中被列入失信被执行人名单</w:t>
            </w:r>
          </w:p>
        </w:tc>
        <w:tc>
          <w:tcPr>
            <w:tcW w:w="1422" w:type="dxa"/>
            <w:tcBorders>
              <w:top w:val="single" w:color="auto" w:sz="6" w:space="0"/>
              <w:left w:val="single" w:color="auto" w:sz="6" w:space="0"/>
              <w:bottom w:val="single" w:color="auto" w:sz="12" w:space="0"/>
              <w:right w:val="single" w:color="auto" w:sz="12" w:space="0"/>
            </w:tcBorders>
            <w:vAlign w:val="center"/>
          </w:tcPr>
          <w:p w14:paraId="20A6E15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bl>
    <w:p w14:paraId="0C7EC141">
      <w:pPr>
        <w:spacing w:line="320" w:lineRule="exact"/>
        <w:jc w:val="left"/>
        <w:rPr>
          <w:rFonts w:hint="eastAsia" w:ascii="仿宋" w:hAnsi="仿宋" w:eastAsia="仿宋" w:cs="仿宋"/>
          <w:color w:val="auto"/>
          <w:szCs w:val="21"/>
          <w:highlight w:val="none"/>
        </w:rPr>
      </w:pPr>
    </w:p>
    <w:p w14:paraId="1DEFD3A4">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5E0F140F">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情况说明请填写“是”或“否”。</w:t>
      </w:r>
    </w:p>
    <w:p w14:paraId="3AEDB2F3">
      <w:pPr>
        <w:spacing w:after="625" w:afterLines="200" w:line="520" w:lineRule="exact"/>
        <w:rPr>
          <w:rFonts w:hint="eastAsia" w:ascii="仿宋" w:hAnsi="仿宋" w:eastAsia="仿宋" w:cs="仿宋"/>
          <w:b/>
          <w:bCs/>
          <w:color w:val="auto"/>
          <w:highlight w:val="none"/>
        </w:rPr>
      </w:pPr>
      <w:r>
        <w:rPr>
          <w:rFonts w:hint="eastAsia" w:ascii="仿宋" w:hAnsi="仿宋" w:eastAsia="仿宋" w:cs="仿宋"/>
          <w:b/>
          <w:bCs/>
          <w:color w:val="auto"/>
          <w:szCs w:val="21"/>
          <w:highlight w:val="none"/>
        </w:rPr>
        <w:t>2.</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应如实填写本表，如隐瞒真实情况，一旦发现将取消其签约资格。</w:t>
      </w:r>
    </w:p>
    <w:p w14:paraId="06DE1F0A">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承诺人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3354FA1E">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 xml:space="preserve"> </w:t>
      </w:r>
    </w:p>
    <w:p w14:paraId="6F263689">
      <w:pPr>
        <w:spacing w:after="313" w:afterLines="100" w:line="520" w:lineRule="exact"/>
        <w:ind w:left="3360" w:leftChars="1400" w:firstLine="0" w:firstLineChars="0"/>
        <w:rPr>
          <w:rFonts w:hint="eastAsia"/>
          <w:lang w:val="en-US" w:eastAsia="zh-CN"/>
        </w:rPr>
      </w:pPr>
      <w:r>
        <w:rPr>
          <w:rFonts w:hint="eastAsia" w:ascii="仿宋" w:hAnsi="仿宋" w:eastAsia="仿宋" w:cs="仿宋"/>
          <w:color w:val="auto"/>
          <w:sz w:val="24"/>
          <w:highlight w:val="none"/>
        </w:rPr>
        <w:t>承诺时间：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bookmarkStart w:id="107" w:name="评标细则"/>
      <w:bookmarkEnd w:id="107"/>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5"/>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6"/>
    </w:pPr>
  </w:p>
  <w:p w14:paraId="772D126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5"/>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2"/>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3"/>
      <w:suff w:val="nothing"/>
      <w:lvlText w:val="%2."/>
      <w:lvlJc w:val="left"/>
      <w:pPr>
        <w:ind w:left="0" w:firstLine="402"/>
      </w:pPr>
      <w:rPr>
        <w:rFonts w:hint="default" w:ascii="宋体" w:hAnsi="宋体" w:eastAsia="宋体" w:cs="宋体"/>
        <w:sz w:val="36"/>
      </w:rPr>
    </w:lvl>
    <w:lvl w:ilvl="2" w:tentative="0">
      <w:start w:val="1"/>
      <w:numFmt w:val="decimal"/>
      <w:pStyle w:val="4"/>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trackRevisions w:val="1"/>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3259A"/>
    <w:rsid w:val="0184537D"/>
    <w:rsid w:val="018E2987"/>
    <w:rsid w:val="020E7CF9"/>
    <w:rsid w:val="022913A6"/>
    <w:rsid w:val="02482F0B"/>
    <w:rsid w:val="02611557"/>
    <w:rsid w:val="027173B2"/>
    <w:rsid w:val="027974C8"/>
    <w:rsid w:val="028A336A"/>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D5093D"/>
    <w:rsid w:val="06E404BE"/>
    <w:rsid w:val="0729012F"/>
    <w:rsid w:val="07652D43"/>
    <w:rsid w:val="07C10E62"/>
    <w:rsid w:val="092661CC"/>
    <w:rsid w:val="09410048"/>
    <w:rsid w:val="09612377"/>
    <w:rsid w:val="09711736"/>
    <w:rsid w:val="09984724"/>
    <w:rsid w:val="09B32A99"/>
    <w:rsid w:val="09DE7B82"/>
    <w:rsid w:val="0A117680"/>
    <w:rsid w:val="0A235210"/>
    <w:rsid w:val="0A6C3817"/>
    <w:rsid w:val="0B7F08F7"/>
    <w:rsid w:val="0B8C638A"/>
    <w:rsid w:val="0B8F6F26"/>
    <w:rsid w:val="0C197589"/>
    <w:rsid w:val="0C306986"/>
    <w:rsid w:val="0C3E26EA"/>
    <w:rsid w:val="0C4834D8"/>
    <w:rsid w:val="0C4D28BD"/>
    <w:rsid w:val="0C847FD3"/>
    <w:rsid w:val="0CDD71F7"/>
    <w:rsid w:val="0D254DBC"/>
    <w:rsid w:val="0D40150B"/>
    <w:rsid w:val="0DD244C8"/>
    <w:rsid w:val="0DE668F0"/>
    <w:rsid w:val="0E4D2975"/>
    <w:rsid w:val="0E6836F4"/>
    <w:rsid w:val="0EF1693D"/>
    <w:rsid w:val="0F884495"/>
    <w:rsid w:val="0FC35F97"/>
    <w:rsid w:val="0FE87926"/>
    <w:rsid w:val="0FFF483E"/>
    <w:rsid w:val="10743A86"/>
    <w:rsid w:val="107F4645"/>
    <w:rsid w:val="10B81417"/>
    <w:rsid w:val="11297025"/>
    <w:rsid w:val="11384BA7"/>
    <w:rsid w:val="11523463"/>
    <w:rsid w:val="119E50BE"/>
    <w:rsid w:val="122357EE"/>
    <w:rsid w:val="123C5B58"/>
    <w:rsid w:val="12401AB8"/>
    <w:rsid w:val="13CF742F"/>
    <w:rsid w:val="13D34583"/>
    <w:rsid w:val="14234899"/>
    <w:rsid w:val="1424760F"/>
    <w:rsid w:val="14706BA3"/>
    <w:rsid w:val="150C0DE4"/>
    <w:rsid w:val="158D1C33"/>
    <w:rsid w:val="15972182"/>
    <w:rsid w:val="15EB0556"/>
    <w:rsid w:val="15F613A0"/>
    <w:rsid w:val="160C070B"/>
    <w:rsid w:val="164E147F"/>
    <w:rsid w:val="167839B0"/>
    <w:rsid w:val="16893F4C"/>
    <w:rsid w:val="169A66AA"/>
    <w:rsid w:val="16A1238F"/>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8A1B8F"/>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315715"/>
    <w:rsid w:val="1FA959F2"/>
    <w:rsid w:val="1FAD562C"/>
    <w:rsid w:val="1FBC0F9D"/>
    <w:rsid w:val="2006120C"/>
    <w:rsid w:val="206641CB"/>
    <w:rsid w:val="208512E0"/>
    <w:rsid w:val="20895988"/>
    <w:rsid w:val="20CD0201"/>
    <w:rsid w:val="20E61545"/>
    <w:rsid w:val="21944011"/>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B61F3B"/>
    <w:rsid w:val="26B04094"/>
    <w:rsid w:val="26B1682B"/>
    <w:rsid w:val="27423919"/>
    <w:rsid w:val="277201B1"/>
    <w:rsid w:val="278E2369"/>
    <w:rsid w:val="27940080"/>
    <w:rsid w:val="27E20E07"/>
    <w:rsid w:val="27F87645"/>
    <w:rsid w:val="282F32ED"/>
    <w:rsid w:val="28885326"/>
    <w:rsid w:val="28D1706F"/>
    <w:rsid w:val="29462D43"/>
    <w:rsid w:val="296D2E3A"/>
    <w:rsid w:val="2A0C6C21"/>
    <w:rsid w:val="2A3D54F9"/>
    <w:rsid w:val="2A43247C"/>
    <w:rsid w:val="2A584856"/>
    <w:rsid w:val="2A647DD0"/>
    <w:rsid w:val="2A702DAE"/>
    <w:rsid w:val="2AA33B05"/>
    <w:rsid w:val="2B045D24"/>
    <w:rsid w:val="2B0A7E4D"/>
    <w:rsid w:val="2B1D67BA"/>
    <w:rsid w:val="2B6A5861"/>
    <w:rsid w:val="2BAE1109"/>
    <w:rsid w:val="2BE33C0E"/>
    <w:rsid w:val="2C3E30AF"/>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6931EC"/>
    <w:rsid w:val="387B36CD"/>
    <w:rsid w:val="389F5CA7"/>
    <w:rsid w:val="38B317C0"/>
    <w:rsid w:val="38DA6777"/>
    <w:rsid w:val="38F27404"/>
    <w:rsid w:val="393036CB"/>
    <w:rsid w:val="394615CB"/>
    <w:rsid w:val="39C03C82"/>
    <w:rsid w:val="3A06211A"/>
    <w:rsid w:val="3A52154A"/>
    <w:rsid w:val="3AAE27EE"/>
    <w:rsid w:val="3B0B28E8"/>
    <w:rsid w:val="3BDA5786"/>
    <w:rsid w:val="3BE50B93"/>
    <w:rsid w:val="3C68200B"/>
    <w:rsid w:val="3D1C31F5"/>
    <w:rsid w:val="3D5850D6"/>
    <w:rsid w:val="3DFA148C"/>
    <w:rsid w:val="3E20000B"/>
    <w:rsid w:val="3E77258B"/>
    <w:rsid w:val="3EB561E1"/>
    <w:rsid w:val="3EBC7731"/>
    <w:rsid w:val="3F6A752B"/>
    <w:rsid w:val="3F8F2D59"/>
    <w:rsid w:val="3FC21E2F"/>
    <w:rsid w:val="40404FA9"/>
    <w:rsid w:val="40D96845"/>
    <w:rsid w:val="415E1ED8"/>
    <w:rsid w:val="41A447FD"/>
    <w:rsid w:val="41DA738F"/>
    <w:rsid w:val="41F57BE2"/>
    <w:rsid w:val="4207635A"/>
    <w:rsid w:val="423E471D"/>
    <w:rsid w:val="42416881"/>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87229A"/>
    <w:rsid w:val="479C7DF0"/>
    <w:rsid w:val="481E02A5"/>
    <w:rsid w:val="48284A31"/>
    <w:rsid w:val="4896303B"/>
    <w:rsid w:val="48B8654B"/>
    <w:rsid w:val="48C82735"/>
    <w:rsid w:val="499371A3"/>
    <w:rsid w:val="499D1D72"/>
    <w:rsid w:val="49AC469F"/>
    <w:rsid w:val="49B61F08"/>
    <w:rsid w:val="49BC7BD7"/>
    <w:rsid w:val="49C078A3"/>
    <w:rsid w:val="49E7156C"/>
    <w:rsid w:val="4A2026CB"/>
    <w:rsid w:val="4A250A63"/>
    <w:rsid w:val="4A7E1DB5"/>
    <w:rsid w:val="4A977F6F"/>
    <w:rsid w:val="4AC33245"/>
    <w:rsid w:val="4AF8010B"/>
    <w:rsid w:val="4B277F06"/>
    <w:rsid w:val="4B4303FD"/>
    <w:rsid w:val="4B441AE3"/>
    <w:rsid w:val="4B516F36"/>
    <w:rsid w:val="4B6F6898"/>
    <w:rsid w:val="4BB85697"/>
    <w:rsid w:val="4BED2E93"/>
    <w:rsid w:val="4C616B77"/>
    <w:rsid w:val="4C697822"/>
    <w:rsid w:val="4C792618"/>
    <w:rsid w:val="4C821E99"/>
    <w:rsid w:val="4D3C51DE"/>
    <w:rsid w:val="4DAE585C"/>
    <w:rsid w:val="4DBB71F6"/>
    <w:rsid w:val="4DE36432"/>
    <w:rsid w:val="4DEA2712"/>
    <w:rsid w:val="4DF23BA9"/>
    <w:rsid w:val="4E16353F"/>
    <w:rsid w:val="4E1C4711"/>
    <w:rsid w:val="4E830532"/>
    <w:rsid w:val="4ED074DD"/>
    <w:rsid w:val="4F1C4541"/>
    <w:rsid w:val="4F3F5B57"/>
    <w:rsid w:val="4FAE7D5E"/>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49C2544"/>
    <w:rsid w:val="55205C5D"/>
    <w:rsid w:val="555E3990"/>
    <w:rsid w:val="559F6ED3"/>
    <w:rsid w:val="55A559A5"/>
    <w:rsid w:val="56516EDE"/>
    <w:rsid w:val="56691C0E"/>
    <w:rsid w:val="568C5674"/>
    <w:rsid w:val="56941FB1"/>
    <w:rsid w:val="570E5995"/>
    <w:rsid w:val="57852D80"/>
    <w:rsid w:val="57876EF9"/>
    <w:rsid w:val="584A3D97"/>
    <w:rsid w:val="585D737F"/>
    <w:rsid w:val="58601AF1"/>
    <w:rsid w:val="588C2C9A"/>
    <w:rsid w:val="58BD16F5"/>
    <w:rsid w:val="59A84B05"/>
    <w:rsid w:val="59E827C4"/>
    <w:rsid w:val="5A031E39"/>
    <w:rsid w:val="5A0F7891"/>
    <w:rsid w:val="5A2A13C6"/>
    <w:rsid w:val="5A8B33BB"/>
    <w:rsid w:val="5ABC515E"/>
    <w:rsid w:val="5AFD6893"/>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F3E0450"/>
    <w:rsid w:val="60555A41"/>
    <w:rsid w:val="60D35963"/>
    <w:rsid w:val="613D1F5B"/>
    <w:rsid w:val="618F0100"/>
    <w:rsid w:val="61E462B1"/>
    <w:rsid w:val="62524D95"/>
    <w:rsid w:val="62B774CE"/>
    <w:rsid w:val="62D74326"/>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B199C"/>
    <w:rsid w:val="67BF6439"/>
    <w:rsid w:val="67DC486D"/>
    <w:rsid w:val="685E2D55"/>
    <w:rsid w:val="68684C0A"/>
    <w:rsid w:val="68F104C3"/>
    <w:rsid w:val="69167501"/>
    <w:rsid w:val="6967039B"/>
    <w:rsid w:val="69857937"/>
    <w:rsid w:val="698A5BCA"/>
    <w:rsid w:val="69985F69"/>
    <w:rsid w:val="69995A05"/>
    <w:rsid w:val="69F844CD"/>
    <w:rsid w:val="6A292945"/>
    <w:rsid w:val="6A4A488F"/>
    <w:rsid w:val="6ABA4326"/>
    <w:rsid w:val="6ACB6A4C"/>
    <w:rsid w:val="6AFC4D71"/>
    <w:rsid w:val="6B541AF3"/>
    <w:rsid w:val="6B707A37"/>
    <w:rsid w:val="6BB06BE0"/>
    <w:rsid w:val="6BBB0E9D"/>
    <w:rsid w:val="6C3E68A5"/>
    <w:rsid w:val="6C6475F3"/>
    <w:rsid w:val="6CA71D3C"/>
    <w:rsid w:val="6D254FA9"/>
    <w:rsid w:val="6D29067D"/>
    <w:rsid w:val="6D673814"/>
    <w:rsid w:val="6D9E1598"/>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727F"/>
    <w:rsid w:val="73A72DC1"/>
    <w:rsid w:val="73B85B73"/>
    <w:rsid w:val="742D2A7D"/>
    <w:rsid w:val="744D6942"/>
    <w:rsid w:val="74B44B4A"/>
    <w:rsid w:val="75056BCA"/>
    <w:rsid w:val="75353590"/>
    <w:rsid w:val="75876AA3"/>
    <w:rsid w:val="759622F7"/>
    <w:rsid w:val="75B23B6B"/>
    <w:rsid w:val="76670B7B"/>
    <w:rsid w:val="76AB26E8"/>
    <w:rsid w:val="77106B53"/>
    <w:rsid w:val="771D6320"/>
    <w:rsid w:val="775459CA"/>
    <w:rsid w:val="77A71D85"/>
    <w:rsid w:val="77E717D4"/>
    <w:rsid w:val="77E752B8"/>
    <w:rsid w:val="77EE481B"/>
    <w:rsid w:val="7887380A"/>
    <w:rsid w:val="789C1F70"/>
    <w:rsid w:val="78A3791F"/>
    <w:rsid w:val="78BE6A74"/>
    <w:rsid w:val="78CE4E01"/>
    <w:rsid w:val="78DB46E5"/>
    <w:rsid w:val="79122332"/>
    <w:rsid w:val="791E374E"/>
    <w:rsid w:val="791F1764"/>
    <w:rsid w:val="79301F93"/>
    <w:rsid w:val="796714B0"/>
    <w:rsid w:val="79C81FFD"/>
    <w:rsid w:val="79FC0252"/>
    <w:rsid w:val="7AA3720F"/>
    <w:rsid w:val="7AD30A3B"/>
    <w:rsid w:val="7AD831A1"/>
    <w:rsid w:val="7B354ADC"/>
    <w:rsid w:val="7B6A6EB6"/>
    <w:rsid w:val="7B8F2FE5"/>
    <w:rsid w:val="7B9C2847"/>
    <w:rsid w:val="7BA56A67"/>
    <w:rsid w:val="7C2E5A7B"/>
    <w:rsid w:val="7CC20CB3"/>
    <w:rsid w:val="7CE6443D"/>
    <w:rsid w:val="7CF13E70"/>
    <w:rsid w:val="7D146DE8"/>
    <w:rsid w:val="7D63111B"/>
    <w:rsid w:val="7D9F7F47"/>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4"/>
      <w:szCs w:val="24"/>
      <w:lang w:val="en-US" w:eastAsia="zh-CN" w:bidi="ar-SA"/>
    </w:rPr>
  </w:style>
  <w:style w:type="paragraph" w:styleId="2">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3">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4">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5">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8">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9">
    <w:name w:val="Body Text"/>
    <w:basedOn w:val="1"/>
    <w:next w:val="10"/>
    <w:autoRedefine/>
    <w:unhideWhenUsed/>
    <w:qFormat/>
    <w:uiPriority w:val="99"/>
    <w:pPr>
      <w:spacing w:after="120"/>
    </w:pPr>
  </w:style>
  <w:style w:type="paragraph" w:customStyle="1" w:styleId="1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1">
    <w:name w:val="Body Text Indent"/>
    <w:basedOn w:val="1"/>
    <w:next w:val="1"/>
    <w:autoRedefine/>
    <w:qFormat/>
    <w:uiPriority w:val="0"/>
    <w:pPr>
      <w:ind w:firstLine="538" w:firstLineChars="192"/>
    </w:pPr>
    <w:rPr>
      <w:sz w:val="28"/>
    </w:rPr>
  </w:style>
  <w:style w:type="paragraph" w:styleId="12">
    <w:name w:val="Block Text"/>
    <w:basedOn w:val="1"/>
    <w:autoRedefine/>
    <w:qFormat/>
    <w:uiPriority w:val="0"/>
    <w:pPr>
      <w:spacing w:after="120"/>
      <w:ind w:leftChars="700" w:rightChars="700"/>
    </w:pPr>
  </w:style>
  <w:style w:type="paragraph" w:styleId="13">
    <w:name w:val="toc 3"/>
    <w:basedOn w:val="1"/>
    <w:next w:val="1"/>
    <w:qFormat/>
    <w:uiPriority w:val="0"/>
    <w:pPr>
      <w:ind w:left="840" w:leftChars="400"/>
    </w:pPr>
  </w:style>
  <w:style w:type="paragraph" w:styleId="14">
    <w:name w:val="Plain Text"/>
    <w:basedOn w:val="1"/>
    <w:autoRedefine/>
    <w:unhideWhenUsed/>
    <w:qFormat/>
    <w:uiPriority w:val="0"/>
    <w:rPr>
      <w:rFonts w:hint="eastAsia" w:ascii="宋体" w:hAnsi="Courier New"/>
      <w:sz w:val="20"/>
    </w:rPr>
  </w:style>
  <w:style w:type="paragraph" w:styleId="15">
    <w:name w:val="footer"/>
    <w:basedOn w:val="1"/>
    <w:autoRedefine/>
    <w:qFormat/>
    <w:uiPriority w:val="0"/>
    <w:pPr>
      <w:tabs>
        <w:tab w:val="center" w:pos="4153"/>
        <w:tab w:val="right" w:pos="8306"/>
      </w:tabs>
      <w:snapToGrid w:val="0"/>
      <w:jc w:val="left"/>
    </w:pPr>
    <w:rPr>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autoRedefine/>
    <w:qFormat/>
    <w:uiPriority w:val="0"/>
  </w:style>
  <w:style w:type="paragraph" w:styleId="18">
    <w:name w:val="toc 2"/>
    <w:basedOn w:val="1"/>
    <w:next w:val="1"/>
    <w:autoRedefine/>
    <w:unhideWhenUsed/>
    <w:qFormat/>
    <w:uiPriority w:val="39"/>
    <w:pPr>
      <w:ind w:left="420" w:leftChars="200"/>
    </w:p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0">
    <w:name w:val="Normal (Web)"/>
    <w:basedOn w:val="1"/>
    <w:autoRedefine/>
    <w:qFormat/>
    <w:uiPriority w:val="0"/>
    <w:pPr>
      <w:jc w:val="left"/>
    </w:pPr>
    <w:rPr>
      <w:kern w:val="0"/>
    </w:rPr>
  </w:style>
  <w:style w:type="paragraph" w:styleId="21">
    <w:name w:val="Body Text First Indent"/>
    <w:basedOn w:val="9"/>
    <w:next w:val="9"/>
    <w:qFormat/>
    <w:uiPriority w:val="0"/>
    <w:pPr>
      <w:widowControl/>
      <w:tabs>
        <w:tab w:val="left" w:pos="0"/>
      </w:tabs>
      <w:spacing w:after="156"/>
      <w:ind w:left="425"/>
      <w:jc w:val="left"/>
    </w:pPr>
    <w:rPr>
      <w:sz w:val="28"/>
      <w:szCs w:val="28"/>
    </w:rPr>
  </w:style>
  <w:style w:type="paragraph" w:styleId="22">
    <w:name w:val="Body Text First Indent 2"/>
    <w:basedOn w:val="11"/>
    <w:next w:val="21"/>
    <w:qFormat/>
    <w:uiPriority w:val="0"/>
    <w:pPr>
      <w:ind w:firstLine="420" w:firstLineChars="200"/>
    </w:pPr>
    <w:rPr>
      <w:rFonts w:ascii="Times New Roman" w:hAnsi="Times New Roman"/>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FollowedHyperlink"/>
    <w:basedOn w:val="25"/>
    <w:autoRedefine/>
    <w:semiHidden/>
    <w:unhideWhenUsed/>
    <w:qFormat/>
    <w:uiPriority w:val="99"/>
    <w:rPr>
      <w:color w:val="800080"/>
      <w:u w:val="single"/>
    </w:rPr>
  </w:style>
  <w:style w:type="character" w:styleId="28">
    <w:name w:val="Emphasis"/>
    <w:basedOn w:val="25"/>
    <w:autoRedefine/>
    <w:qFormat/>
    <w:uiPriority w:val="0"/>
  </w:style>
  <w:style w:type="character" w:styleId="29">
    <w:name w:val="HTML Definition"/>
    <w:basedOn w:val="25"/>
    <w:autoRedefine/>
    <w:qFormat/>
    <w:uiPriority w:val="0"/>
    <w:rPr>
      <w:i/>
    </w:rPr>
  </w:style>
  <w:style w:type="character" w:styleId="30">
    <w:name w:val="Hyperlink"/>
    <w:basedOn w:val="25"/>
    <w:autoRedefine/>
    <w:qFormat/>
    <w:uiPriority w:val="99"/>
    <w:rPr>
      <w:rFonts w:cs="Times New Roman"/>
      <w:color w:val="0000FF"/>
      <w:u w:val="single"/>
    </w:rPr>
  </w:style>
  <w:style w:type="character" w:styleId="31">
    <w:name w:val="HTML Code"/>
    <w:basedOn w:val="25"/>
    <w:autoRedefine/>
    <w:qFormat/>
    <w:uiPriority w:val="0"/>
    <w:rPr>
      <w:rFonts w:ascii="Courier New" w:hAnsi="Courier New"/>
      <w:sz w:val="20"/>
    </w:rPr>
  </w:style>
  <w:style w:type="character" w:styleId="32">
    <w:name w:val="HTML Cite"/>
    <w:basedOn w:val="25"/>
    <w:autoRedefine/>
    <w:qFormat/>
    <w:uiPriority w:val="0"/>
  </w:style>
  <w:style w:type="paragraph" w:customStyle="1" w:styleId="33">
    <w:name w:val="列出段落1"/>
    <w:basedOn w:val="1"/>
    <w:qFormat/>
    <w:uiPriority w:val="34"/>
    <w:pPr>
      <w:ind w:firstLine="420" w:firstLineChars="200"/>
    </w:pPr>
    <w:rPr>
      <w:rFonts w:ascii="Calibri" w:hAnsi="Calibri"/>
      <w:szCs w:val="22"/>
    </w:rPr>
  </w:style>
  <w:style w:type="character" w:customStyle="1" w:styleId="34">
    <w:name w:val="标题 3 Char"/>
    <w:link w:val="4"/>
    <w:qFormat/>
    <w:uiPriority w:val="0"/>
    <w:rPr>
      <w:b/>
      <w:sz w:val="32"/>
    </w:rPr>
  </w:style>
  <w:style w:type="character" w:customStyle="1" w:styleId="35">
    <w:name w:val="标题 4 Char"/>
    <w:link w:val="5"/>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5"/>
    <w:qFormat/>
    <w:uiPriority w:val="0"/>
    <w:rPr>
      <w:color w:val="333333"/>
      <w:u w:val="none"/>
    </w:rPr>
  </w:style>
  <w:style w:type="character" w:customStyle="1" w:styleId="39">
    <w:name w:val="标题 #1_"/>
    <w:basedOn w:val="25"/>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5"/>
    <w:qFormat/>
    <w:uiPriority w:val="0"/>
    <w:rPr>
      <w:rFonts w:hint="eastAsia" w:ascii="宋体" w:hAnsi="宋体" w:eastAsia="宋体" w:cs="宋体"/>
      <w:color w:val="000000"/>
      <w:sz w:val="22"/>
      <w:szCs w:val="22"/>
      <w:u w:val="none"/>
    </w:rPr>
  </w:style>
  <w:style w:type="character" w:customStyle="1" w:styleId="42">
    <w:name w:val="正文文本 (5)_"/>
    <w:basedOn w:val="25"/>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5"/>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5"/>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5"/>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5"/>
    <w:qFormat/>
    <w:uiPriority w:val="0"/>
    <w:rPr>
      <w:rFonts w:hint="default" w:ascii="Calibri" w:hAnsi="Calibri" w:cs="Calibri"/>
      <w:color w:val="000000"/>
      <w:sz w:val="22"/>
      <w:szCs w:val="22"/>
      <w:u w:val="none"/>
    </w:rPr>
  </w:style>
  <w:style w:type="character" w:customStyle="1" w:styleId="51">
    <w:name w:val="目录_"/>
    <w:basedOn w:val="25"/>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5"/>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5"/>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5"/>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5"/>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5"/>
    <w:qFormat/>
    <w:uiPriority w:val="0"/>
    <w:rPr>
      <w:rFonts w:ascii="Calibri" w:hAnsi="Calibri" w:cs="Calibri"/>
      <w:color w:val="000000"/>
      <w:sz w:val="22"/>
      <w:szCs w:val="22"/>
      <w:u w:val="none"/>
    </w:rPr>
  </w:style>
  <w:style w:type="character" w:customStyle="1" w:styleId="62">
    <w:name w:val="其他_"/>
    <w:basedOn w:val="25"/>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5"/>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ccfc6bab-4302-4969-b438-eb6bc2624eff</errorID>
      <errorWord>（</errorWord>
      <group>L1_Punc</group>
      <groupName>标点问题</groupName>
      <ability>L2_Punc</ability>
      <abilityName>标点符号检查</abilityName>
      <candidateList/>
      <explain>同一形式括号套用。</explain>
      <paraID>7F6BEB18</paraID>
      <start>133</start>
      <end>134</end>
      <status>ignored</status>
      <modifiedWord/>
      <trackRevisions>false</trackRevisions>
    </reviewItem>
    <reviewItem>
      <errorID>2a5b4a2b-0bdc-4eac-963f-2572e991348d</errorID>
      <errorWord>）</errorWord>
      <group>L1_Punc</group>
      <groupName>标点问题</groupName>
      <ability>L2_Punc</ability>
      <abilityName>标点符号检查</abilityName>
      <candidateList/>
      <explain>同一形式括号套用。</explain>
      <paraID>7F6BEB18</paraID>
      <start>139</start>
      <end>140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fee3b-b080-4bca-827c-24b3a8575bce}">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21</Pages>
  <Words>8386</Words>
  <Characters>9003</Characters>
  <Lines>340</Lines>
  <Paragraphs>95</Paragraphs>
  <TotalTime>5</TotalTime>
  <ScaleCrop>false</ScaleCrop>
  <LinksUpToDate>false</LinksUpToDate>
  <CharactersWithSpaces>9474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汤俊 13026242779</cp:lastModifiedBy>
  <cp:lastPrinted>2026-05-11T10:12:00Z</cp:lastPrinted>
  <dcterms:modified xsi:type="dcterms:W3CDTF">2026-05-14T07:40:54Z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C8FC344A38A4453DA9C84D6D9C19CD36_13</vt:lpwstr>
  </property>
  <property fmtid="{D5CDD505-2E9C-101B-9397-08002B2CF9AE}" pid="4" name="commondata">
    <vt:lpwstr>eyJoZGlkIjoiZDE1OGRmZTUwYzBiYTFjYzc3MjA3MjhlMzQ4YzFjODcifQ==</vt:lpwstr>
  </property>
  <property fmtid="{D5CDD505-2E9C-101B-9397-08002B2CF9AE}" pid="5" name="KSOTemplateDocerSaveRecord">
    <vt:lpwstr>eyJoZGlkIjoiNTFjNzhhZGYwNjg0MTU4YTViYTk1YmY4ZGE2MDMzMDAiLCJ1c2VySWQiOiI0MTA5MjU2MDMifQ==</vt:lpwstr>
  </property>
</Properties>
</file>