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904EA">
      <w:pPr>
        <w:spacing w:line="360" w:lineRule="auto"/>
        <w:jc w:val="left"/>
        <w:rPr>
          <w:rFonts w:ascii="宋体" w:hAnsi="宋体" w:eastAsia="宋体"/>
          <w:bCs/>
          <w:color w:val="auto"/>
          <w:sz w:val="24"/>
        </w:rPr>
      </w:pPr>
    </w:p>
    <w:p w14:paraId="5D5C7083">
      <w:pPr>
        <w:spacing w:line="360" w:lineRule="auto"/>
        <w:jc w:val="right"/>
        <w:rPr>
          <w:rFonts w:ascii="宋体" w:hAnsi="宋体" w:eastAsia="宋体"/>
          <w:b/>
          <w:color w:val="auto"/>
          <w:sz w:val="32"/>
          <w:szCs w:val="32"/>
        </w:rPr>
      </w:pPr>
    </w:p>
    <w:p w14:paraId="78AE9852">
      <w:pPr>
        <w:spacing w:line="360" w:lineRule="auto"/>
        <w:rPr>
          <w:rFonts w:ascii="宋体" w:hAnsi="宋体"/>
          <w:color w:val="auto"/>
          <w:sz w:val="24"/>
        </w:rPr>
      </w:pPr>
    </w:p>
    <w:p w14:paraId="048EE16B">
      <w:pPr>
        <w:spacing w:line="360" w:lineRule="auto"/>
        <w:jc w:val="center"/>
        <w:outlineLvl w:val="0"/>
        <w:rPr>
          <w:rFonts w:hint="eastAsia" w:ascii="宋体" w:hAnsi="宋体"/>
          <w:b/>
          <w:color w:val="auto"/>
          <w:kern w:val="0"/>
          <w:sz w:val="52"/>
          <w:szCs w:val="52"/>
          <w:u w:val="single"/>
          <w:lang w:val="en-US" w:eastAsia="zh-CN"/>
        </w:rPr>
      </w:pPr>
    </w:p>
    <w:p w14:paraId="0E9A3154">
      <w:pPr>
        <w:spacing w:line="360" w:lineRule="auto"/>
        <w:jc w:val="center"/>
        <w:outlineLvl w:val="0"/>
        <w:rPr>
          <w:rFonts w:hint="eastAsia" w:ascii="宋体" w:hAnsi="宋体"/>
          <w:b/>
          <w:color w:val="auto"/>
          <w:kern w:val="0"/>
          <w:sz w:val="52"/>
          <w:szCs w:val="52"/>
          <w:lang w:eastAsia="zh-CN"/>
        </w:rPr>
      </w:pPr>
      <w:r>
        <w:rPr>
          <w:rFonts w:hint="eastAsia" w:ascii="宋体" w:hAnsi="宋体"/>
          <w:b/>
          <w:color w:val="auto"/>
          <w:kern w:val="0"/>
          <w:sz w:val="52"/>
          <w:szCs w:val="52"/>
          <w:u w:val="single"/>
          <w:lang w:val="en-US" w:eastAsia="zh-CN"/>
        </w:rPr>
        <w:t>江南宋城历史文化旅游区提升改造一期项目—灯光提升</w:t>
      </w:r>
      <w:bookmarkStart w:id="0" w:name="_Toc19165"/>
      <w:bookmarkStart w:id="1" w:name="_Toc6944"/>
      <w:bookmarkStart w:id="2" w:name="_Toc6251"/>
      <w:r>
        <w:rPr>
          <w:rFonts w:hint="eastAsia" w:ascii="宋体" w:hAnsi="宋体"/>
          <w:b/>
          <w:color w:val="auto"/>
          <w:kern w:val="0"/>
          <w:sz w:val="52"/>
          <w:szCs w:val="52"/>
          <w:lang w:eastAsia="zh-CN"/>
        </w:rPr>
        <w:t>项目</w:t>
      </w:r>
      <w:bookmarkEnd w:id="0"/>
      <w:bookmarkEnd w:id="1"/>
      <w:bookmarkEnd w:id="2"/>
    </w:p>
    <w:p w14:paraId="293837BE">
      <w:pPr>
        <w:spacing w:line="360" w:lineRule="auto"/>
        <w:jc w:val="center"/>
        <w:outlineLvl w:val="0"/>
        <w:rPr>
          <w:rFonts w:hint="default" w:ascii="宋体" w:hAnsi="宋体"/>
          <w:b/>
          <w:color w:val="auto"/>
          <w:kern w:val="0"/>
          <w:sz w:val="52"/>
          <w:szCs w:val="52"/>
          <w:lang w:val="en-US" w:eastAsia="zh-CN"/>
        </w:rPr>
      </w:pPr>
      <w:r>
        <w:rPr>
          <w:rFonts w:hint="eastAsia" w:ascii="宋体" w:hAnsi="宋体"/>
          <w:b/>
          <w:color w:val="auto"/>
          <w:kern w:val="0"/>
          <w:sz w:val="52"/>
          <w:szCs w:val="52"/>
          <w:lang w:eastAsia="zh-CN"/>
        </w:rPr>
        <w:t>招标代理服务</w:t>
      </w:r>
    </w:p>
    <w:p w14:paraId="39F1C1AC">
      <w:pPr>
        <w:pStyle w:val="41"/>
        <w:ind w:left="0" w:leftChars="0" w:firstLine="0" w:firstLineChars="0"/>
        <w:jc w:val="both"/>
        <w:rPr>
          <w:rFonts w:hint="default"/>
          <w:color w:val="auto"/>
          <w:sz w:val="44"/>
          <w:szCs w:val="44"/>
          <w:lang w:val="en-US" w:eastAsia="zh-CN"/>
        </w:rPr>
      </w:pPr>
      <w:r>
        <w:rPr>
          <w:rFonts w:hint="eastAsia" w:ascii="宋体" w:hAnsi="宋体"/>
          <w:b/>
          <w:color w:val="auto"/>
          <w:kern w:val="0"/>
          <w:sz w:val="44"/>
          <w:szCs w:val="44"/>
          <w:lang w:eastAsia="zh-CN"/>
        </w:rPr>
        <w:t>（</w:t>
      </w:r>
      <w:r>
        <w:rPr>
          <w:rFonts w:hint="eastAsia" w:ascii="宋体" w:hAnsi="宋体"/>
          <w:b/>
          <w:color w:val="auto"/>
          <w:kern w:val="0"/>
          <w:sz w:val="44"/>
          <w:szCs w:val="44"/>
          <w:lang w:val="en-US" w:eastAsia="zh-CN"/>
        </w:rPr>
        <w:t>采购编号：</w:t>
      </w:r>
      <w:r>
        <w:rPr>
          <w:rFonts w:hint="eastAsia" w:ascii="宋体" w:hAnsi="宋体"/>
          <w:b/>
          <w:bCs w:val="0"/>
          <w:color w:val="auto"/>
          <w:kern w:val="0"/>
          <w:sz w:val="44"/>
          <w:szCs w:val="44"/>
          <w:u w:val="single"/>
          <w:lang w:val="en-US" w:eastAsia="zh-CN"/>
        </w:rPr>
        <w:t xml:space="preserve">LTZCZX2024-公开询价--123 </w:t>
      </w:r>
      <w:r>
        <w:rPr>
          <w:rFonts w:hint="eastAsia" w:ascii="宋体" w:hAnsi="宋体"/>
          <w:b/>
          <w:color w:val="auto"/>
          <w:kern w:val="0"/>
          <w:sz w:val="44"/>
          <w:szCs w:val="44"/>
          <w:lang w:val="en-US" w:eastAsia="zh-CN"/>
        </w:rPr>
        <w:t>）</w:t>
      </w:r>
    </w:p>
    <w:p w14:paraId="3436F236">
      <w:pPr>
        <w:pStyle w:val="41"/>
        <w:rPr>
          <w:rFonts w:hint="eastAsia"/>
          <w:color w:val="auto"/>
          <w:lang w:eastAsia="zh-CN"/>
        </w:rPr>
      </w:pPr>
    </w:p>
    <w:p w14:paraId="7EB7A4EC">
      <w:pPr>
        <w:spacing w:line="360" w:lineRule="auto"/>
        <w:rPr>
          <w:rFonts w:ascii="宋体" w:hAnsi="宋体"/>
          <w:color w:val="auto"/>
          <w:sz w:val="24"/>
        </w:rPr>
      </w:pPr>
    </w:p>
    <w:p w14:paraId="1A78092E">
      <w:pPr>
        <w:pStyle w:val="19"/>
        <w:rPr>
          <w:color w:val="auto"/>
        </w:rPr>
      </w:pPr>
    </w:p>
    <w:p w14:paraId="3653D230">
      <w:pPr>
        <w:spacing w:line="360" w:lineRule="auto"/>
        <w:rPr>
          <w:rFonts w:ascii="宋体" w:hAnsi="宋体"/>
          <w:color w:val="auto"/>
          <w:sz w:val="24"/>
        </w:rPr>
      </w:pPr>
    </w:p>
    <w:p w14:paraId="4FE65EAC">
      <w:pPr>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lang w:val="en-US" w:eastAsia="zh-CN"/>
        </w:rPr>
        <w:t>公开询价采购</w:t>
      </w:r>
      <w:r>
        <w:rPr>
          <w:rFonts w:hint="eastAsia" w:ascii="黑体" w:hAnsi="黑体" w:eastAsia="黑体" w:cs="黑体"/>
          <w:b/>
          <w:bCs/>
          <w:color w:val="auto"/>
          <w:sz w:val="72"/>
          <w:szCs w:val="72"/>
        </w:rPr>
        <w:t>文件</w:t>
      </w:r>
    </w:p>
    <w:p w14:paraId="46D5AFF8">
      <w:pPr>
        <w:snapToGrid w:val="0"/>
        <w:spacing w:line="360" w:lineRule="auto"/>
        <w:ind w:right="-82"/>
        <w:jc w:val="center"/>
        <w:rPr>
          <w:rFonts w:ascii="宋体" w:hAnsi="宋体"/>
          <w:b/>
          <w:color w:val="auto"/>
          <w:sz w:val="24"/>
        </w:rPr>
      </w:pPr>
      <w:r>
        <w:rPr>
          <w:rFonts w:hint="eastAsia" w:ascii="宋体" w:hAnsi="宋体"/>
          <w:b/>
          <w:color w:val="auto"/>
          <w:sz w:val="24"/>
        </w:rPr>
        <w:t xml:space="preserve"> </w:t>
      </w:r>
    </w:p>
    <w:p w14:paraId="4D328E37">
      <w:pPr>
        <w:spacing w:line="360" w:lineRule="auto"/>
        <w:rPr>
          <w:rFonts w:ascii="宋体" w:hAnsi="宋体"/>
          <w:color w:val="auto"/>
          <w:sz w:val="24"/>
        </w:rPr>
      </w:pPr>
    </w:p>
    <w:p w14:paraId="5BF8437F">
      <w:pPr>
        <w:rPr>
          <w:color w:val="auto"/>
        </w:rPr>
      </w:pPr>
    </w:p>
    <w:p w14:paraId="7A14FE07">
      <w:pPr>
        <w:spacing w:line="360" w:lineRule="auto"/>
        <w:rPr>
          <w:rFonts w:ascii="宋体" w:hAnsi="宋体"/>
          <w:color w:val="auto"/>
          <w:sz w:val="24"/>
        </w:rPr>
      </w:pPr>
    </w:p>
    <w:p w14:paraId="6AB45224">
      <w:pPr>
        <w:keepNext w:val="0"/>
        <w:keepLines w:val="0"/>
        <w:pageBreakBefore w:val="0"/>
        <w:widowControl w:val="0"/>
        <w:kinsoku/>
        <w:wordWrap/>
        <w:overflowPunct/>
        <w:topLinePunct w:val="0"/>
        <w:autoSpaceDE/>
        <w:autoSpaceDN/>
        <w:bidi w:val="0"/>
        <w:snapToGrid/>
        <w:spacing w:line="720" w:lineRule="exact"/>
        <w:ind w:firstLine="1832" w:firstLineChars="600"/>
        <w:jc w:val="both"/>
        <w:rPr>
          <w:rFonts w:hint="default" w:ascii="宋体" w:hAnsi="宋体" w:eastAsiaTheme="minorEastAsia"/>
          <w:b/>
          <w:bCs/>
          <w:color w:val="auto"/>
          <w:w w:val="95"/>
          <w:sz w:val="32"/>
          <w:szCs w:val="32"/>
          <w:u w:val="single"/>
          <w:lang w:val="en-US" w:eastAsia="zh-CN"/>
        </w:rPr>
      </w:pP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eastAsia" w:ascii="宋体" w:hAnsi="宋体"/>
          <w:b/>
          <w:bCs/>
          <w:color w:val="auto"/>
          <w:w w:val="95"/>
          <w:sz w:val="32"/>
          <w:szCs w:val="32"/>
          <w:u w:val="single"/>
          <w:lang w:val="en-US" w:eastAsia="zh-CN"/>
        </w:rPr>
        <w:t xml:space="preserve"> 赣州宋潮景区管理有限公司 </w:t>
      </w:r>
    </w:p>
    <w:p w14:paraId="2F39FD3C">
      <w:pPr>
        <w:pStyle w:val="19"/>
        <w:keepNext w:val="0"/>
        <w:keepLines w:val="0"/>
        <w:pageBreakBefore w:val="0"/>
        <w:widowControl w:val="0"/>
        <w:kinsoku/>
        <w:wordWrap/>
        <w:overflowPunct/>
        <w:topLinePunct w:val="0"/>
        <w:autoSpaceDE/>
        <w:autoSpaceDN/>
        <w:bidi w:val="0"/>
        <w:snapToGrid/>
        <w:spacing w:after="0" w:line="720" w:lineRule="exact"/>
        <w:ind w:firstLine="1832" w:firstLineChars="600"/>
        <w:jc w:val="both"/>
        <w:rPr>
          <w:rFonts w:hint="eastAsia" w:ascii="宋体" w:hAnsi="宋体"/>
          <w:b/>
          <w:bCs/>
          <w:color w:val="auto"/>
          <w:w w:val="95"/>
          <w:sz w:val="32"/>
          <w:szCs w:val="32"/>
          <w:lang w:val="en-US" w:eastAsia="zh-CN"/>
        </w:rPr>
      </w:pP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 xml:space="preserve"> 2024  </w:t>
      </w:r>
      <w:r>
        <w:rPr>
          <w:rFonts w:hint="eastAsia" w:ascii="宋体" w:hAnsi="宋体"/>
          <w:b/>
          <w:bCs/>
          <w:color w:val="auto"/>
          <w:w w:val="95"/>
          <w:sz w:val="32"/>
          <w:szCs w:val="32"/>
          <w:lang w:val="en-US" w:eastAsia="zh-CN"/>
        </w:rPr>
        <w:t>年</w:t>
      </w:r>
      <w:r>
        <w:rPr>
          <w:rFonts w:hint="eastAsia" w:ascii="宋体" w:hAnsi="宋体"/>
          <w:b/>
          <w:bCs/>
          <w:color w:val="auto"/>
          <w:w w:val="95"/>
          <w:sz w:val="32"/>
          <w:szCs w:val="32"/>
          <w:u w:val="single"/>
          <w:lang w:val="en-US" w:eastAsia="zh-CN"/>
        </w:rPr>
        <w:t xml:space="preserve">  11  </w:t>
      </w:r>
      <w:r>
        <w:rPr>
          <w:rFonts w:hint="eastAsia" w:ascii="宋体" w:hAnsi="宋体"/>
          <w:b/>
          <w:bCs/>
          <w:color w:val="auto"/>
          <w:w w:val="95"/>
          <w:sz w:val="32"/>
          <w:szCs w:val="32"/>
          <w:lang w:val="en-US" w:eastAsia="zh-CN"/>
        </w:rPr>
        <w:t>月</w:t>
      </w:r>
    </w:p>
    <w:p w14:paraId="43FCCD14">
      <w:pPr>
        <w:keepNext w:val="0"/>
        <w:keepLines w:val="0"/>
        <w:pageBreakBefore w:val="0"/>
        <w:widowControl w:val="0"/>
        <w:kinsoku/>
        <w:wordWrap/>
        <w:overflowPunct/>
        <w:topLinePunct w:val="0"/>
        <w:autoSpaceDE/>
        <w:autoSpaceDN/>
        <w:bidi w:val="0"/>
        <w:snapToGrid/>
        <w:spacing w:line="720" w:lineRule="exact"/>
        <w:ind w:firstLine="1832" w:firstLineChars="600"/>
        <w:rPr>
          <w:rFonts w:hint="default"/>
          <w:color w:val="auto"/>
          <w:sz w:val="18"/>
          <w:szCs w:val="21"/>
          <w:u w:val="single"/>
          <w:lang w:val="en-US" w:eastAsia="zh-CN"/>
        </w:rPr>
      </w:pP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 xml:space="preserve"> 15216105601  </w:t>
      </w:r>
    </w:p>
    <w:p w14:paraId="3868611C">
      <w:pPr>
        <w:spacing w:line="360" w:lineRule="auto"/>
        <w:jc w:val="center"/>
        <w:rPr>
          <w:rFonts w:ascii="宋体" w:hAnsi="宋体"/>
          <w:b/>
          <w:color w:val="auto"/>
          <w:sz w:val="24"/>
        </w:rPr>
      </w:pPr>
    </w:p>
    <w:p w14:paraId="2C952B7C">
      <w:pPr>
        <w:spacing w:before="0" w:beforeLines="0" w:after="0" w:afterLines="0" w:line="240" w:lineRule="auto"/>
        <w:ind w:left="0" w:leftChars="0" w:right="0" w:rightChars="0" w:firstLine="0" w:firstLineChars="0"/>
        <w:jc w:val="center"/>
        <w:rPr>
          <w:color w:val="auto"/>
          <w:sz w:val="36"/>
          <w:szCs w:val="36"/>
        </w:rPr>
      </w:pPr>
      <w:bookmarkStart w:id="3" w:name="_Toc7080"/>
      <w:r>
        <w:rPr>
          <w:rFonts w:ascii="宋体" w:hAnsi="宋体" w:eastAsia="宋体"/>
          <w:color w:val="auto"/>
          <w:sz w:val="36"/>
          <w:szCs w:val="36"/>
        </w:rPr>
        <w:t>目录</w:t>
      </w:r>
    </w:p>
    <w:p w14:paraId="0D2DA199">
      <w:pPr>
        <w:pStyle w:val="218"/>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14:paraId="31B269A0">
      <w:pPr>
        <w:pStyle w:val="218"/>
        <w:tabs>
          <w:tab w:val="right" w:leader="dot" w:pos="8306"/>
        </w:tabs>
        <w:rPr>
          <w:b/>
          <w:color w:val="auto"/>
        </w:rPr>
      </w:pPr>
      <w:r>
        <w:rPr>
          <w:b/>
          <w:color w:val="auto"/>
        </w:rPr>
        <w:fldChar w:fldCharType="begin"/>
      </w:r>
      <w:r>
        <w:rPr>
          <w:b/>
          <w:color w:val="auto"/>
        </w:rPr>
        <w:instrText xml:space="preserve"> HYPERLINK \l _Toc3077 </w:instrText>
      </w:r>
      <w:r>
        <w:rPr>
          <w:b/>
          <w:color w:val="auto"/>
        </w:rPr>
        <w:fldChar w:fldCharType="separate"/>
      </w:r>
      <w:r>
        <w:rPr>
          <w:rFonts w:ascii="Times New Roman" w:hAnsi="黑体" w:eastAsia="黑体"/>
          <w:b/>
          <w:bCs w:val="0"/>
          <w:color w:val="auto"/>
          <w:szCs w:val="32"/>
        </w:rPr>
        <w:t>第一章</w:t>
      </w:r>
      <w:r>
        <w:rPr>
          <w:rFonts w:hint="eastAsia" w:ascii="Times New Roman" w:hAnsi="Times New Roman" w:eastAsia="黑体"/>
          <w:b/>
          <w:bCs w:val="0"/>
          <w:color w:val="auto"/>
          <w:szCs w:val="32"/>
        </w:rPr>
        <w:t xml:space="preserve">  </w:t>
      </w:r>
      <w:r>
        <w:rPr>
          <w:rFonts w:hint="eastAsia" w:hAnsi="黑体" w:eastAsia="黑体"/>
          <w:b/>
          <w:bCs w:val="0"/>
          <w:color w:val="auto"/>
          <w:szCs w:val="32"/>
          <w:lang w:val="en-US" w:eastAsia="zh-CN"/>
        </w:rPr>
        <w:t>询价须知</w:t>
      </w:r>
      <w:r>
        <w:rPr>
          <w:b/>
          <w:color w:val="auto"/>
        </w:rPr>
        <w:tab/>
      </w:r>
      <w:r>
        <w:rPr>
          <w:b/>
          <w:color w:val="auto"/>
        </w:rPr>
        <w:fldChar w:fldCharType="begin"/>
      </w:r>
      <w:r>
        <w:rPr>
          <w:b/>
          <w:color w:val="auto"/>
        </w:rPr>
        <w:instrText xml:space="preserve"> PAGEREF _Toc3077 \h </w:instrText>
      </w:r>
      <w:r>
        <w:rPr>
          <w:b/>
          <w:color w:val="auto"/>
        </w:rPr>
        <w:fldChar w:fldCharType="separate"/>
      </w:r>
      <w:r>
        <w:rPr>
          <w:b/>
          <w:color w:val="auto"/>
        </w:rPr>
        <w:t>2</w:t>
      </w:r>
      <w:r>
        <w:rPr>
          <w:b/>
          <w:color w:val="auto"/>
        </w:rPr>
        <w:fldChar w:fldCharType="end"/>
      </w:r>
      <w:r>
        <w:rPr>
          <w:b/>
          <w:color w:val="auto"/>
        </w:rPr>
        <w:fldChar w:fldCharType="end"/>
      </w:r>
    </w:p>
    <w:p w14:paraId="61D360A2">
      <w:pPr>
        <w:pStyle w:val="219"/>
        <w:tabs>
          <w:tab w:val="right" w:leader="dot" w:pos="8306"/>
        </w:tabs>
        <w:rPr>
          <w:color w:val="auto"/>
        </w:rPr>
      </w:pPr>
      <w:r>
        <w:rPr>
          <w:color w:val="auto"/>
        </w:rPr>
        <w:fldChar w:fldCharType="begin"/>
      </w:r>
      <w:r>
        <w:rPr>
          <w:color w:val="auto"/>
        </w:rPr>
        <w:instrText xml:space="preserve"> HYPERLINK \l _Toc22537 </w:instrText>
      </w:r>
      <w:r>
        <w:rPr>
          <w:color w:val="auto"/>
        </w:rPr>
        <w:fldChar w:fldCharType="separate"/>
      </w:r>
      <w:r>
        <w:rPr>
          <w:rFonts w:hint="eastAsia" w:ascii="楷体" w:hAnsi="楷体" w:eastAsia="楷体" w:cs="楷体"/>
          <w:bCs/>
          <w:color w:val="auto"/>
          <w:szCs w:val="32"/>
          <w:lang w:val="en-US" w:eastAsia="zh-Hans"/>
        </w:rPr>
        <w:t xml:space="preserve">一、 </w:t>
      </w:r>
      <w:r>
        <w:rPr>
          <w:rFonts w:hint="eastAsia" w:ascii="楷体" w:hAnsi="楷体" w:eastAsia="楷体" w:cs="楷体"/>
          <w:bCs/>
          <w:color w:val="auto"/>
          <w:szCs w:val="32"/>
          <w:lang w:val="en-US" w:eastAsia="zh-CN"/>
        </w:rPr>
        <w:t>采购</w:t>
      </w:r>
      <w:r>
        <w:rPr>
          <w:rFonts w:hint="eastAsia" w:ascii="楷体" w:hAnsi="楷体" w:eastAsia="楷体" w:cs="楷体"/>
          <w:bCs/>
          <w:color w:val="auto"/>
          <w:szCs w:val="32"/>
          <w:lang w:val="en-US" w:eastAsia="zh-Hans"/>
        </w:rPr>
        <w:t>内容：</w:t>
      </w:r>
      <w:r>
        <w:rPr>
          <w:color w:val="auto"/>
        </w:rPr>
        <w:tab/>
      </w:r>
      <w:r>
        <w:rPr>
          <w:color w:val="auto"/>
        </w:rPr>
        <w:fldChar w:fldCharType="begin"/>
      </w:r>
      <w:r>
        <w:rPr>
          <w:color w:val="auto"/>
        </w:rPr>
        <w:instrText xml:space="preserve"> PAGEREF _Toc22537 \h </w:instrText>
      </w:r>
      <w:r>
        <w:rPr>
          <w:color w:val="auto"/>
        </w:rPr>
        <w:fldChar w:fldCharType="separate"/>
      </w:r>
      <w:r>
        <w:rPr>
          <w:color w:val="auto"/>
        </w:rPr>
        <w:t>3</w:t>
      </w:r>
      <w:r>
        <w:rPr>
          <w:color w:val="auto"/>
        </w:rPr>
        <w:fldChar w:fldCharType="end"/>
      </w:r>
      <w:r>
        <w:rPr>
          <w:color w:val="auto"/>
        </w:rPr>
        <w:fldChar w:fldCharType="end"/>
      </w:r>
    </w:p>
    <w:p w14:paraId="4DABEBAD">
      <w:pPr>
        <w:pStyle w:val="219"/>
        <w:tabs>
          <w:tab w:val="right" w:leader="dot" w:pos="8306"/>
        </w:tabs>
        <w:rPr>
          <w:color w:val="auto"/>
        </w:rPr>
      </w:pPr>
      <w:r>
        <w:rPr>
          <w:color w:val="auto"/>
        </w:rPr>
        <w:fldChar w:fldCharType="begin"/>
      </w:r>
      <w:r>
        <w:rPr>
          <w:color w:val="auto"/>
        </w:rPr>
        <w:instrText xml:space="preserve"> HYPERLINK \l _Toc3240 </w:instrText>
      </w:r>
      <w:r>
        <w:rPr>
          <w:color w:val="auto"/>
        </w:rPr>
        <w:fldChar w:fldCharType="separate"/>
      </w:r>
      <w:r>
        <w:rPr>
          <w:rFonts w:hint="eastAsia" w:ascii="楷体" w:hAnsi="楷体" w:eastAsia="楷体" w:cs="楷体"/>
          <w:bCs/>
          <w:color w:val="auto"/>
          <w:szCs w:val="32"/>
          <w:lang w:val="en-US" w:eastAsia="zh-CN"/>
        </w:rPr>
        <w:t>二、 供应商资格条件：</w:t>
      </w:r>
      <w:r>
        <w:rPr>
          <w:color w:val="auto"/>
        </w:rPr>
        <w:tab/>
      </w:r>
      <w:r>
        <w:rPr>
          <w:color w:val="auto"/>
        </w:rPr>
        <w:fldChar w:fldCharType="begin"/>
      </w:r>
      <w:r>
        <w:rPr>
          <w:color w:val="auto"/>
        </w:rPr>
        <w:instrText xml:space="preserve"> PAGEREF _Toc3240 \h </w:instrText>
      </w:r>
      <w:r>
        <w:rPr>
          <w:color w:val="auto"/>
        </w:rPr>
        <w:fldChar w:fldCharType="separate"/>
      </w:r>
      <w:r>
        <w:rPr>
          <w:color w:val="auto"/>
        </w:rPr>
        <w:t>3</w:t>
      </w:r>
      <w:r>
        <w:rPr>
          <w:color w:val="auto"/>
        </w:rPr>
        <w:fldChar w:fldCharType="end"/>
      </w:r>
      <w:r>
        <w:rPr>
          <w:color w:val="auto"/>
        </w:rPr>
        <w:fldChar w:fldCharType="end"/>
      </w:r>
    </w:p>
    <w:p w14:paraId="33AA2DDD">
      <w:pPr>
        <w:pStyle w:val="219"/>
        <w:tabs>
          <w:tab w:val="right" w:leader="dot" w:pos="8306"/>
        </w:tabs>
        <w:rPr>
          <w:color w:val="auto"/>
        </w:rPr>
      </w:pPr>
      <w:r>
        <w:rPr>
          <w:color w:val="auto"/>
        </w:rPr>
        <w:fldChar w:fldCharType="begin"/>
      </w:r>
      <w:r>
        <w:rPr>
          <w:color w:val="auto"/>
        </w:rPr>
        <w:instrText xml:space="preserve"> HYPERLINK \l _Toc26361 </w:instrText>
      </w:r>
      <w:r>
        <w:rPr>
          <w:color w:val="auto"/>
        </w:rPr>
        <w:fldChar w:fldCharType="separate"/>
      </w:r>
      <w:r>
        <w:rPr>
          <w:rFonts w:hint="eastAsia" w:ascii="楷体" w:hAnsi="楷体" w:eastAsia="楷体" w:cs="楷体"/>
          <w:bCs/>
          <w:color w:val="auto"/>
          <w:szCs w:val="32"/>
          <w:lang w:val="en-US" w:eastAsia="zh-CN"/>
        </w:rPr>
        <w:t>三、 拟派人员资格要求：</w:t>
      </w:r>
      <w:r>
        <w:rPr>
          <w:color w:val="auto"/>
        </w:rPr>
        <w:tab/>
      </w:r>
      <w:r>
        <w:rPr>
          <w:color w:val="auto"/>
        </w:rPr>
        <w:fldChar w:fldCharType="begin"/>
      </w:r>
      <w:r>
        <w:rPr>
          <w:color w:val="auto"/>
        </w:rPr>
        <w:instrText xml:space="preserve"> PAGEREF _Toc26361 \h </w:instrText>
      </w:r>
      <w:r>
        <w:rPr>
          <w:color w:val="auto"/>
        </w:rPr>
        <w:fldChar w:fldCharType="separate"/>
      </w:r>
      <w:r>
        <w:rPr>
          <w:color w:val="auto"/>
        </w:rPr>
        <w:t>4</w:t>
      </w:r>
      <w:r>
        <w:rPr>
          <w:color w:val="auto"/>
        </w:rPr>
        <w:fldChar w:fldCharType="end"/>
      </w:r>
      <w:r>
        <w:rPr>
          <w:color w:val="auto"/>
        </w:rPr>
        <w:fldChar w:fldCharType="end"/>
      </w:r>
    </w:p>
    <w:p w14:paraId="3A6D8D0E">
      <w:pPr>
        <w:pStyle w:val="219"/>
        <w:tabs>
          <w:tab w:val="right" w:leader="dot" w:pos="8306"/>
        </w:tabs>
        <w:rPr>
          <w:color w:val="auto"/>
        </w:rPr>
      </w:pPr>
      <w:r>
        <w:rPr>
          <w:color w:val="auto"/>
        </w:rPr>
        <w:fldChar w:fldCharType="begin"/>
      </w:r>
      <w:r>
        <w:rPr>
          <w:color w:val="auto"/>
        </w:rPr>
        <w:instrText xml:space="preserve"> HYPERLINK \l _Toc26856 </w:instrText>
      </w:r>
      <w:r>
        <w:rPr>
          <w:color w:val="auto"/>
        </w:rPr>
        <w:fldChar w:fldCharType="separate"/>
      </w:r>
      <w:r>
        <w:rPr>
          <w:rFonts w:hint="eastAsia" w:ascii="楷体" w:hAnsi="楷体" w:eastAsia="楷体" w:cs="楷体"/>
          <w:bCs/>
          <w:color w:val="auto"/>
          <w:szCs w:val="32"/>
          <w:lang w:val="en-US" w:eastAsia="zh-CN"/>
        </w:rPr>
        <w:t>四、 询价文件获取：</w:t>
      </w:r>
      <w:r>
        <w:rPr>
          <w:color w:val="auto"/>
        </w:rPr>
        <w:tab/>
      </w:r>
      <w:r>
        <w:rPr>
          <w:color w:val="auto"/>
        </w:rPr>
        <w:fldChar w:fldCharType="begin"/>
      </w:r>
      <w:r>
        <w:rPr>
          <w:color w:val="auto"/>
        </w:rPr>
        <w:instrText xml:space="preserve"> PAGEREF _Toc26856 \h </w:instrText>
      </w:r>
      <w:r>
        <w:rPr>
          <w:color w:val="auto"/>
        </w:rPr>
        <w:fldChar w:fldCharType="separate"/>
      </w:r>
      <w:r>
        <w:rPr>
          <w:color w:val="auto"/>
        </w:rPr>
        <w:t>4</w:t>
      </w:r>
      <w:r>
        <w:rPr>
          <w:color w:val="auto"/>
        </w:rPr>
        <w:fldChar w:fldCharType="end"/>
      </w:r>
      <w:r>
        <w:rPr>
          <w:color w:val="auto"/>
        </w:rPr>
        <w:fldChar w:fldCharType="end"/>
      </w:r>
    </w:p>
    <w:p w14:paraId="468672A6">
      <w:pPr>
        <w:pStyle w:val="219"/>
        <w:tabs>
          <w:tab w:val="right" w:leader="dot" w:pos="8306"/>
        </w:tabs>
        <w:rPr>
          <w:color w:val="auto"/>
        </w:rPr>
      </w:pPr>
      <w:r>
        <w:rPr>
          <w:color w:val="auto"/>
        </w:rPr>
        <w:fldChar w:fldCharType="begin"/>
      </w:r>
      <w:r>
        <w:rPr>
          <w:color w:val="auto"/>
        </w:rPr>
        <w:instrText xml:space="preserve"> HYPERLINK \l _Toc1062 </w:instrText>
      </w:r>
      <w:r>
        <w:rPr>
          <w:color w:val="auto"/>
        </w:rPr>
        <w:fldChar w:fldCharType="separate"/>
      </w:r>
      <w:r>
        <w:rPr>
          <w:rFonts w:hint="eastAsia" w:ascii="楷体" w:hAnsi="楷体" w:eastAsia="楷体" w:cs="楷体"/>
          <w:bCs/>
          <w:color w:val="auto"/>
          <w:szCs w:val="32"/>
          <w:lang w:val="en-US" w:eastAsia="zh-CN"/>
        </w:rPr>
        <w:t>五、 响应文件：</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4</w:t>
      </w:r>
      <w:r>
        <w:rPr>
          <w:color w:val="auto"/>
        </w:rPr>
        <w:fldChar w:fldCharType="end"/>
      </w:r>
      <w:r>
        <w:rPr>
          <w:color w:val="auto"/>
        </w:rPr>
        <w:fldChar w:fldCharType="end"/>
      </w:r>
    </w:p>
    <w:p w14:paraId="1E17B09E">
      <w:pPr>
        <w:pStyle w:val="219"/>
        <w:tabs>
          <w:tab w:val="right" w:leader="dot" w:pos="8306"/>
        </w:tabs>
        <w:rPr>
          <w:color w:val="auto"/>
        </w:rPr>
      </w:pPr>
      <w:r>
        <w:rPr>
          <w:color w:val="auto"/>
        </w:rPr>
        <w:fldChar w:fldCharType="begin"/>
      </w:r>
      <w:r>
        <w:rPr>
          <w:color w:val="auto"/>
        </w:rPr>
        <w:instrText xml:space="preserve"> HYPERLINK \l _Toc5175 </w:instrText>
      </w:r>
      <w:r>
        <w:rPr>
          <w:color w:val="auto"/>
        </w:rPr>
        <w:fldChar w:fldCharType="separate"/>
      </w:r>
      <w:r>
        <w:rPr>
          <w:rFonts w:hint="eastAsia" w:ascii="楷体" w:hAnsi="楷体" w:eastAsia="楷体" w:cs="楷体"/>
          <w:bCs/>
          <w:color w:val="auto"/>
          <w:szCs w:val="32"/>
          <w:lang w:val="en-US" w:eastAsia="zh-CN"/>
        </w:rPr>
        <w:t>六、 现场踏勘：</w:t>
      </w:r>
      <w:r>
        <w:rPr>
          <w:color w:val="auto"/>
        </w:rPr>
        <w:tab/>
      </w:r>
      <w:r>
        <w:rPr>
          <w:color w:val="auto"/>
        </w:rPr>
        <w:fldChar w:fldCharType="begin"/>
      </w:r>
      <w:r>
        <w:rPr>
          <w:color w:val="auto"/>
        </w:rPr>
        <w:instrText xml:space="preserve"> PAGEREF _Toc5175 \h </w:instrText>
      </w:r>
      <w:r>
        <w:rPr>
          <w:color w:val="auto"/>
        </w:rPr>
        <w:fldChar w:fldCharType="separate"/>
      </w:r>
      <w:r>
        <w:rPr>
          <w:color w:val="auto"/>
        </w:rPr>
        <w:t>4</w:t>
      </w:r>
      <w:r>
        <w:rPr>
          <w:color w:val="auto"/>
        </w:rPr>
        <w:fldChar w:fldCharType="end"/>
      </w:r>
      <w:r>
        <w:rPr>
          <w:color w:val="auto"/>
        </w:rPr>
        <w:fldChar w:fldCharType="end"/>
      </w:r>
    </w:p>
    <w:p w14:paraId="32A3D221">
      <w:pPr>
        <w:pStyle w:val="219"/>
        <w:tabs>
          <w:tab w:val="right" w:leader="dot" w:pos="8306"/>
        </w:tabs>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楷体" w:hAnsi="楷体" w:eastAsia="楷体" w:cs="楷体"/>
          <w:bCs/>
          <w:color w:val="auto"/>
          <w:szCs w:val="32"/>
          <w:lang w:val="en-US" w:eastAsia="zh-CN"/>
        </w:rPr>
        <w:t>七、 询价文件澄清或答疑：</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5</w:t>
      </w:r>
      <w:r>
        <w:rPr>
          <w:color w:val="auto"/>
        </w:rPr>
        <w:fldChar w:fldCharType="end"/>
      </w:r>
      <w:r>
        <w:rPr>
          <w:color w:val="auto"/>
        </w:rPr>
        <w:fldChar w:fldCharType="end"/>
      </w:r>
    </w:p>
    <w:p w14:paraId="3E4AF50D">
      <w:pPr>
        <w:pStyle w:val="219"/>
        <w:tabs>
          <w:tab w:val="right" w:leader="dot" w:pos="8306"/>
        </w:tabs>
        <w:rPr>
          <w:color w:val="auto"/>
        </w:rPr>
      </w:pPr>
      <w:r>
        <w:rPr>
          <w:color w:val="auto"/>
        </w:rPr>
        <w:fldChar w:fldCharType="begin"/>
      </w:r>
      <w:r>
        <w:rPr>
          <w:color w:val="auto"/>
        </w:rPr>
        <w:instrText xml:space="preserve"> HYPERLINK \l _Toc9026 </w:instrText>
      </w:r>
      <w:r>
        <w:rPr>
          <w:color w:val="auto"/>
        </w:rPr>
        <w:fldChar w:fldCharType="separate"/>
      </w:r>
      <w:r>
        <w:rPr>
          <w:rFonts w:hint="eastAsia" w:ascii="楷体" w:hAnsi="楷体" w:eastAsia="楷体" w:cs="楷体"/>
          <w:bCs/>
          <w:color w:val="auto"/>
          <w:szCs w:val="32"/>
          <w:lang w:val="en-US" w:eastAsia="zh-CN"/>
        </w:rPr>
        <w:t>八、 询价时间、地点：</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5</w:t>
      </w:r>
      <w:r>
        <w:rPr>
          <w:color w:val="auto"/>
        </w:rPr>
        <w:fldChar w:fldCharType="end"/>
      </w:r>
      <w:r>
        <w:rPr>
          <w:color w:val="auto"/>
        </w:rPr>
        <w:fldChar w:fldCharType="end"/>
      </w:r>
    </w:p>
    <w:p w14:paraId="18866D7A">
      <w:pPr>
        <w:pStyle w:val="219"/>
        <w:tabs>
          <w:tab w:val="right" w:leader="dot" w:pos="8306"/>
        </w:tabs>
        <w:rPr>
          <w:color w:val="auto"/>
        </w:rPr>
      </w:pPr>
      <w:r>
        <w:rPr>
          <w:color w:val="auto"/>
        </w:rPr>
        <w:fldChar w:fldCharType="begin"/>
      </w:r>
      <w:r>
        <w:rPr>
          <w:color w:val="auto"/>
        </w:rPr>
        <w:instrText xml:space="preserve"> HYPERLINK \l _Toc7230 </w:instrText>
      </w:r>
      <w:r>
        <w:rPr>
          <w:color w:val="auto"/>
        </w:rPr>
        <w:fldChar w:fldCharType="separate"/>
      </w:r>
      <w:r>
        <w:rPr>
          <w:rFonts w:hint="eastAsia" w:ascii="楷体" w:hAnsi="楷体" w:eastAsia="楷体" w:cs="楷体"/>
          <w:bCs/>
          <w:color w:val="auto"/>
          <w:szCs w:val="32"/>
          <w:lang w:val="en-US" w:eastAsia="zh-CN"/>
        </w:rPr>
        <w:t>九、 询价</w:t>
      </w:r>
      <w:r>
        <w:rPr>
          <w:rFonts w:hint="eastAsia" w:ascii="楷体" w:hAnsi="楷体" w:eastAsia="楷体" w:cs="楷体"/>
          <w:bCs/>
          <w:color w:val="auto"/>
          <w:szCs w:val="32"/>
          <w:lang w:val="en-US" w:eastAsia="zh-Hans"/>
        </w:rPr>
        <w:t>保证金</w:t>
      </w:r>
      <w:r>
        <w:rPr>
          <w:rFonts w:hint="eastAsia" w:ascii="楷体" w:hAnsi="楷体" w:eastAsia="楷体" w:cs="楷体"/>
          <w:bCs/>
          <w:color w:val="auto"/>
          <w:szCs w:val="32"/>
          <w:lang w:val="en-US" w:eastAsia="zh-CN"/>
        </w:rPr>
        <w:t>：</w:t>
      </w:r>
      <w:r>
        <w:rPr>
          <w:color w:val="auto"/>
        </w:rPr>
        <w:tab/>
      </w:r>
      <w:r>
        <w:rPr>
          <w:color w:val="auto"/>
        </w:rPr>
        <w:fldChar w:fldCharType="begin"/>
      </w:r>
      <w:r>
        <w:rPr>
          <w:color w:val="auto"/>
        </w:rPr>
        <w:instrText xml:space="preserve"> PAGEREF _Toc7230 \h </w:instrText>
      </w:r>
      <w:r>
        <w:rPr>
          <w:color w:val="auto"/>
        </w:rPr>
        <w:fldChar w:fldCharType="separate"/>
      </w:r>
      <w:r>
        <w:rPr>
          <w:color w:val="auto"/>
        </w:rPr>
        <w:t>5</w:t>
      </w:r>
      <w:r>
        <w:rPr>
          <w:color w:val="auto"/>
        </w:rPr>
        <w:fldChar w:fldCharType="end"/>
      </w:r>
      <w:r>
        <w:rPr>
          <w:color w:val="auto"/>
        </w:rPr>
        <w:fldChar w:fldCharType="end"/>
      </w:r>
    </w:p>
    <w:p w14:paraId="063884A6">
      <w:pPr>
        <w:pStyle w:val="219"/>
        <w:tabs>
          <w:tab w:val="right" w:leader="dot" w:pos="8306"/>
        </w:tabs>
        <w:rPr>
          <w:color w:val="auto"/>
        </w:rPr>
      </w:pPr>
      <w:r>
        <w:rPr>
          <w:color w:val="auto"/>
        </w:rPr>
        <w:fldChar w:fldCharType="begin"/>
      </w:r>
      <w:r>
        <w:rPr>
          <w:color w:val="auto"/>
        </w:rPr>
        <w:instrText xml:space="preserve"> HYPERLINK \l _Toc3380 </w:instrText>
      </w:r>
      <w:r>
        <w:rPr>
          <w:color w:val="auto"/>
        </w:rPr>
        <w:fldChar w:fldCharType="separate"/>
      </w:r>
      <w:r>
        <w:rPr>
          <w:rFonts w:hint="eastAsia" w:ascii="楷体" w:hAnsi="楷体" w:eastAsia="楷体" w:cs="楷体"/>
          <w:bCs/>
          <w:color w:val="auto"/>
          <w:szCs w:val="32"/>
          <w:lang w:val="en-US" w:eastAsia="zh-Hans"/>
        </w:rPr>
        <w:t>十、 联系方式：</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6</w:t>
      </w:r>
      <w:r>
        <w:rPr>
          <w:color w:val="auto"/>
        </w:rPr>
        <w:fldChar w:fldCharType="end"/>
      </w:r>
      <w:r>
        <w:rPr>
          <w:color w:val="auto"/>
        </w:rPr>
        <w:fldChar w:fldCharType="end"/>
      </w:r>
    </w:p>
    <w:p w14:paraId="78AB9D2A">
      <w:pPr>
        <w:pStyle w:val="218"/>
        <w:tabs>
          <w:tab w:val="right" w:leader="dot" w:pos="8306"/>
        </w:tabs>
        <w:rPr>
          <w:b/>
          <w:color w:val="auto"/>
        </w:rPr>
      </w:pPr>
      <w:r>
        <w:rPr>
          <w:b/>
          <w:color w:val="auto"/>
        </w:rPr>
        <w:fldChar w:fldCharType="begin"/>
      </w:r>
      <w:r>
        <w:rPr>
          <w:b/>
          <w:color w:val="auto"/>
        </w:rPr>
        <w:instrText xml:space="preserve"> HYPERLINK \l _Toc16627 </w:instrText>
      </w:r>
      <w:r>
        <w:rPr>
          <w:b/>
          <w:color w:val="auto"/>
        </w:rPr>
        <w:fldChar w:fldCharType="separate"/>
      </w:r>
      <w:r>
        <w:rPr>
          <w:rFonts w:hint="eastAsia" w:ascii="Times New Roman" w:hAnsi="黑体" w:eastAsia="黑体"/>
          <w:b/>
          <w:bCs w:val="0"/>
          <w:color w:val="auto"/>
          <w:szCs w:val="32"/>
        </w:rPr>
        <w:t xml:space="preserve">第二章  </w:t>
      </w:r>
      <w:r>
        <w:rPr>
          <w:rFonts w:hint="eastAsia" w:ascii="Times New Roman" w:hAnsi="黑体" w:eastAsia="黑体"/>
          <w:b/>
          <w:bCs w:val="0"/>
          <w:color w:val="auto"/>
          <w:szCs w:val="32"/>
          <w:lang w:eastAsia="zh-CN"/>
        </w:rPr>
        <w:t>询价</w:t>
      </w:r>
      <w:r>
        <w:rPr>
          <w:rFonts w:hint="eastAsia" w:ascii="Times New Roman" w:hAnsi="黑体" w:eastAsia="黑体"/>
          <w:b/>
          <w:bCs w:val="0"/>
          <w:color w:val="auto"/>
          <w:szCs w:val="32"/>
        </w:rPr>
        <w:t>程序和方法</w:t>
      </w:r>
      <w:r>
        <w:rPr>
          <w:b/>
          <w:color w:val="auto"/>
        </w:rPr>
        <w:tab/>
      </w:r>
      <w:r>
        <w:rPr>
          <w:b/>
          <w:color w:val="auto"/>
        </w:rPr>
        <w:fldChar w:fldCharType="begin"/>
      </w:r>
      <w:r>
        <w:rPr>
          <w:b/>
          <w:color w:val="auto"/>
        </w:rPr>
        <w:instrText xml:space="preserve"> PAGEREF _Toc16627 \h </w:instrText>
      </w:r>
      <w:r>
        <w:rPr>
          <w:b/>
          <w:color w:val="auto"/>
        </w:rPr>
        <w:fldChar w:fldCharType="separate"/>
      </w:r>
      <w:r>
        <w:rPr>
          <w:b/>
          <w:color w:val="auto"/>
        </w:rPr>
        <w:t>7</w:t>
      </w:r>
      <w:r>
        <w:rPr>
          <w:b/>
          <w:color w:val="auto"/>
        </w:rPr>
        <w:fldChar w:fldCharType="end"/>
      </w:r>
      <w:r>
        <w:rPr>
          <w:b/>
          <w:color w:val="auto"/>
        </w:rPr>
        <w:fldChar w:fldCharType="end"/>
      </w:r>
    </w:p>
    <w:p w14:paraId="153C5ED0">
      <w:pPr>
        <w:pStyle w:val="219"/>
        <w:tabs>
          <w:tab w:val="right" w:leader="dot" w:pos="8306"/>
        </w:tabs>
        <w:rPr>
          <w:color w:val="auto"/>
        </w:rPr>
      </w:pPr>
      <w:r>
        <w:rPr>
          <w:color w:val="auto"/>
        </w:rPr>
        <w:fldChar w:fldCharType="begin"/>
      </w:r>
      <w:r>
        <w:rPr>
          <w:color w:val="auto"/>
        </w:rPr>
        <w:instrText xml:space="preserve"> HYPERLINK \l _Toc17731 </w:instrText>
      </w:r>
      <w:r>
        <w:rPr>
          <w:color w:val="auto"/>
        </w:rPr>
        <w:fldChar w:fldCharType="separate"/>
      </w:r>
      <w:r>
        <w:rPr>
          <w:rFonts w:hint="eastAsia" w:ascii="楷体" w:hAnsi="楷体" w:eastAsia="楷体" w:cs="楷体"/>
          <w:bCs w:val="0"/>
          <w:color w:val="auto"/>
          <w:szCs w:val="32"/>
          <w:lang w:val="en-US" w:eastAsia="zh-CN"/>
        </w:rPr>
        <w:t>1.</w:t>
      </w:r>
      <w:r>
        <w:rPr>
          <w:rFonts w:hint="eastAsia" w:ascii="楷体" w:hAnsi="楷体" w:eastAsia="楷体" w:cs="楷体"/>
          <w:bCs w:val="0"/>
          <w:color w:val="auto"/>
          <w:szCs w:val="32"/>
        </w:rPr>
        <w:t>编制依据</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7</w:t>
      </w:r>
      <w:r>
        <w:rPr>
          <w:color w:val="auto"/>
        </w:rPr>
        <w:fldChar w:fldCharType="end"/>
      </w:r>
      <w:r>
        <w:rPr>
          <w:color w:val="auto"/>
        </w:rPr>
        <w:fldChar w:fldCharType="end"/>
      </w:r>
    </w:p>
    <w:p w14:paraId="622B3E9C">
      <w:pPr>
        <w:pStyle w:val="219"/>
        <w:tabs>
          <w:tab w:val="right" w:leader="dot" w:pos="8306"/>
        </w:tabs>
        <w:rPr>
          <w:color w:val="auto"/>
        </w:rPr>
      </w:pPr>
      <w:r>
        <w:rPr>
          <w:color w:val="auto"/>
        </w:rPr>
        <w:fldChar w:fldCharType="begin"/>
      </w:r>
      <w:r>
        <w:rPr>
          <w:color w:val="auto"/>
        </w:rPr>
        <w:instrText xml:space="preserve"> HYPERLINK \l _Toc14554 </w:instrText>
      </w:r>
      <w:r>
        <w:rPr>
          <w:color w:val="auto"/>
        </w:rPr>
        <w:fldChar w:fldCharType="separate"/>
      </w:r>
      <w:r>
        <w:rPr>
          <w:rFonts w:hint="eastAsia" w:ascii="楷体" w:hAnsi="楷体" w:eastAsia="楷体" w:cs="楷体"/>
          <w:bCs w:val="0"/>
          <w:color w:val="auto"/>
          <w:szCs w:val="32"/>
          <w:lang w:val="en-US" w:eastAsia="zh-CN"/>
        </w:rPr>
        <w:t>2.定义</w:t>
      </w:r>
      <w:r>
        <w:rPr>
          <w:color w:val="auto"/>
        </w:rPr>
        <w:tab/>
      </w:r>
      <w:r>
        <w:rPr>
          <w:color w:val="auto"/>
        </w:rPr>
        <w:fldChar w:fldCharType="begin"/>
      </w:r>
      <w:r>
        <w:rPr>
          <w:color w:val="auto"/>
        </w:rPr>
        <w:instrText xml:space="preserve"> PAGEREF _Toc14554 \h </w:instrText>
      </w:r>
      <w:r>
        <w:rPr>
          <w:color w:val="auto"/>
        </w:rPr>
        <w:fldChar w:fldCharType="separate"/>
      </w:r>
      <w:r>
        <w:rPr>
          <w:color w:val="auto"/>
        </w:rPr>
        <w:t>7</w:t>
      </w:r>
      <w:r>
        <w:rPr>
          <w:color w:val="auto"/>
        </w:rPr>
        <w:fldChar w:fldCharType="end"/>
      </w:r>
      <w:r>
        <w:rPr>
          <w:color w:val="auto"/>
        </w:rPr>
        <w:fldChar w:fldCharType="end"/>
      </w:r>
    </w:p>
    <w:p w14:paraId="7194AD79">
      <w:pPr>
        <w:pStyle w:val="219"/>
        <w:tabs>
          <w:tab w:val="right" w:leader="dot" w:pos="8306"/>
        </w:tabs>
        <w:rPr>
          <w:color w:val="auto"/>
        </w:rPr>
      </w:pPr>
      <w:r>
        <w:rPr>
          <w:color w:val="auto"/>
        </w:rPr>
        <w:fldChar w:fldCharType="begin"/>
      </w:r>
      <w:r>
        <w:rPr>
          <w:color w:val="auto"/>
        </w:rPr>
        <w:instrText xml:space="preserve"> HYPERLINK \l _Toc32497 </w:instrText>
      </w:r>
      <w:r>
        <w:rPr>
          <w:color w:val="auto"/>
        </w:rPr>
        <w:fldChar w:fldCharType="separate"/>
      </w:r>
      <w:r>
        <w:rPr>
          <w:rFonts w:hint="eastAsia" w:ascii="楷体" w:hAnsi="楷体" w:eastAsia="楷体" w:cs="楷体"/>
          <w:bCs w:val="0"/>
          <w:color w:val="auto"/>
          <w:szCs w:val="32"/>
          <w:lang w:val="en-US" w:eastAsia="zh-CN"/>
        </w:rPr>
        <w:t>3.响应文件的构成</w:t>
      </w:r>
      <w:r>
        <w:rPr>
          <w:color w:val="auto"/>
        </w:rPr>
        <w:tab/>
      </w:r>
      <w:r>
        <w:rPr>
          <w:color w:val="auto"/>
        </w:rPr>
        <w:fldChar w:fldCharType="begin"/>
      </w:r>
      <w:r>
        <w:rPr>
          <w:color w:val="auto"/>
        </w:rPr>
        <w:instrText xml:space="preserve"> PAGEREF _Toc32497 \h </w:instrText>
      </w:r>
      <w:r>
        <w:rPr>
          <w:color w:val="auto"/>
        </w:rPr>
        <w:fldChar w:fldCharType="separate"/>
      </w:r>
      <w:r>
        <w:rPr>
          <w:color w:val="auto"/>
        </w:rPr>
        <w:t>7</w:t>
      </w:r>
      <w:r>
        <w:rPr>
          <w:color w:val="auto"/>
        </w:rPr>
        <w:fldChar w:fldCharType="end"/>
      </w:r>
      <w:r>
        <w:rPr>
          <w:color w:val="auto"/>
        </w:rPr>
        <w:fldChar w:fldCharType="end"/>
      </w:r>
    </w:p>
    <w:p w14:paraId="23F689DC">
      <w:pPr>
        <w:pStyle w:val="219"/>
        <w:tabs>
          <w:tab w:val="right" w:leader="dot" w:pos="8306"/>
        </w:tabs>
        <w:rPr>
          <w:color w:val="auto"/>
        </w:rPr>
      </w:pPr>
      <w:r>
        <w:rPr>
          <w:color w:val="auto"/>
        </w:rPr>
        <w:fldChar w:fldCharType="begin"/>
      </w:r>
      <w:r>
        <w:rPr>
          <w:color w:val="auto"/>
        </w:rPr>
        <w:instrText xml:space="preserve"> HYPERLINK \l _Toc8898 </w:instrText>
      </w:r>
      <w:r>
        <w:rPr>
          <w:color w:val="auto"/>
        </w:rPr>
        <w:fldChar w:fldCharType="separate"/>
      </w:r>
      <w:r>
        <w:rPr>
          <w:rFonts w:hint="eastAsia" w:ascii="楷体" w:hAnsi="楷体" w:eastAsia="楷体" w:cs="楷体"/>
          <w:bCs w:val="0"/>
          <w:color w:val="auto"/>
          <w:szCs w:val="32"/>
          <w:lang w:val="en-US" w:eastAsia="zh-CN"/>
        </w:rPr>
        <w:t>4.询价文件澄清</w:t>
      </w:r>
      <w:r>
        <w:rPr>
          <w:color w:val="auto"/>
        </w:rPr>
        <w:tab/>
      </w:r>
      <w:r>
        <w:rPr>
          <w:color w:val="auto"/>
        </w:rPr>
        <w:fldChar w:fldCharType="begin"/>
      </w:r>
      <w:r>
        <w:rPr>
          <w:color w:val="auto"/>
        </w:rPr>
        <w:instrText xml:space="preserve"> PAGEREF _Toc8898 \h </w:instrText>
      </w:r>
      <w:r>
        <w:rPr>
          <w:color w:val="auto"/>
        </w:rPr>
        <w:fldChar w:fldCharType="separate"/>
      </w:r>
      <w:r>
        <w:rPr>
          <w:color w:val="auto"/>
        </w:rPr>
        <w:t>7</w:t>
      </w:r>
      <w:r>
        <w:rPr>
          <w:color w:val="auto"/>
        </w:rPr>
        <w:fldChar w:fldCharType="end"/>
      </w:r>
      <w:r>
        <w:rPr>
          <w:color w:val="auto"/>
        </w:rPr>
        <w:fldChar w:fldCharType="end"/>
      </w:r>
    </w:p>
    <w:p w14:paraId="1BD6D73F">
      <w:pPr>
        <w:pStyle w:val="219"/>
        <w:tabs>
          <w:tab w:val="right" w:leader="dot" w:pos="8306"/>
        </w:tabs>
        <w:rPr>
          <w:color w:val="auto"/>
        </w:rPr>
      </w:pPr>
      <w:r>
        <w:rPr>
          <w:color w:val="auto"/>
        </w:rPr>
        <w:fldChar w:fldCharType="begin"/>
      </w:r>
      <w:r>
        <w:rPr>
          <w:color w:val="auto"/>
        </w:rPr>
        <w:instrText xml:space="preserve"> HYPERLINK \l _Toc2817 </w:instrText>
      </w:r>
      <w:r>
        <w:rPr>
          <w:color w:val="auto"/>
        </w:rPr>
        <w:fldChar w:fldCharType="separate"/>
      </w:r>
      <w:r>
        <w:rPr>
          <w:rFonts w:hint="eastAsia" w:ascii="楷体" w:hAnsi="楷体" w:eastAsia="楷体" w:cs="楷体"/>
          <w:bCs w:val="0"/>
          <w:color w:val="auto"/>
          <w:szCs w:val="32"/>
          <w:lang w:val="en-US" w:eastAsia="zh-CN"/>
        </w:rPr>
        <w:t>5.响应文件的递交</w:t>
      </w:r>
      <w:r>
        <w:rPr>
          <w:color w:val="auto"/>
        </w:rPr>
        <w:tab/>
      </w:r>
      <w:r>
        <w:rPr>
          <w:color w:val="auto"/>
        </w:rPr>
        <w:fldChar w:fldCharType="begin"/>
      </w:r>
      <w:r>
        <w:rPr>
          <w:color w:val="auto"/>
        </w:rPr>
        <w:instrText xml:space="preserve"> PAGEREF _Toc2817 \h </w:instrText>
      </w:r>
      <w:r>
        <w:rPr>
          <w:color w:val="auto"/>
        </w:rPr>
        <w:fldChar w:fldCharType="separate"/>
      </w:r>
      <w:r>
        <w:rPr>
          <w:color w:val="auto"/>
        </w:rPr>
        <w:t>7</w:t>
      </w:r>
      <w:r>
        <w:rPr>
          <w:color w:val="auto"/>
        </w:rPr>
        <w:fldChar w:fldCharType="end"/>
      </w:r>
      <w:r>
        <w:rPr>
          <w:color w:val="auto"/>
        </w:rPr>
        <w:fldChar w:fldCharType="end"/>
      </w:r>
    </w:p>
    <w:p w14:paraId="52DF6FC4">
      <w:pPr>
        <w:pStyle w:val="219"/>
        <w:tabs>
          <w:tab w:val="right" w:leader="dot" w:pos="8306"/>
        </w:tabs>
        <w:rPr>
          <w:color w:val="auto"/>
        </w:rPr>
      </w:pPr>
      <w:r>
        <w:rPr>
          <w:color w:val="auto"/>
        </w:rPr>
        <w:fldChar w:fldCharType="begin"/>
      </w:r>
      <w:r>
        <w:rPr>
          <w:color w:val="auto"/>
        </w:rPr>
        <w:instrText xml:space="preserve"> HYPERLINK \l _Toc30046 </w:instrText>
      </w:r>
      <w:r>
        <w:rPr>
          <w:color w:val="auto"/>
        </w:rPr>
        <w:fldChar w:fldCharType="separate"/>
      </w:r>
      <w:r>
        <w:rPr>
          <w:rFonts w:hint="eastAsia" w:ascii="楷体" w:hAnsi="楷体" w:eastAsia="楷体" w:cs="楷体"/>
          <w:bCs w:val="0"/>
          <w:color w:val="auto"/>
          <w:szCs w:val="32"/>
          <w:lang w:val="en-US" w:eastAsia="zh-CN"/>
        </w:rPr>
        <w:t>6.开标仪式</w:t>
      </w:r>
      <w:r>
        <w:rPr>
          <w:color w:val="auto"/>
        </w:rPr>
        <w:tab/>
      </w:r>
      <w:r>
        <w:rPr>
          <w:color w:val="auto"/>
        </w:rPr>
        <w:fldChar w:fldCharType="begin"/>
      </w:r>
      <w:r>
        <w:rPr>
          <w:color w:val="auto"/>
        </w:rPr>
        <w:instrText xml:space="preserve"> PAGEREF _Toc30046 \h </w:instrText>
      </w:r>
      <w:r>
        <w:rPr>
          <w:color w:val="auto"/>
        </w:rPr>
        <w:fldChar w:fldCharType="separate"/>
      </w:r>
      <w:r>
        <w:rPr>
          <w:color w:val="auto"/>
        </w:rPr>
        <w:t>8</w:t>
      </w:r>
      <w:r>
        <w:rPr>
          <w:color w:val="auto"/>
        </w:rPr>
        <w:fldChar w:fldCharType="end"/>
      </w:r>
      <w:r>
        <w:rPr>
          <w:color w:val="auto"/>
        </w:rPr>
        <w:fldChar w:fldCharType="end"/>
      </w:r>
    </w:p>
    <w:p w14:paraId="2FBC939F">
      <w:pPr>
        <w:pStyle w:val="219"/>
        <w:tabs>
          <w:tab w:val="right" w:leader="dot" w:pos="8306"/>
        </w:tabs>
        <w:rPr>
          <w:color w:val="auto"/>
        </w:rPr>
      </w:pPr>
      <w:r>
        <w:rPr>
          <w:color w:val="auto"/>
        </w:rPr>
        <w:fldChar w:fldCharType="begin"/>
      </w:r>
      <w:r>
        <w:rPr>
          <w:color w:val="auto"/>
        </w:rPr>
        <w:instrText xml:space="preserve"> HYPERLINK \l _Toc12905 </w:instrText>
      </w:r>
      <w:r>
        <w:rPr>
          <w:color w:val="auto"/>
        </w:rPr>
        <w:fldChar w:fldCharType="separate"/>
      </w:r>
      <w:r>
        <w:rPr>
          <w:rFonts w:hint="eastAsia" w:ascii="楷体" w:hAnsi="楷体" w:eastAsia="楷体" w:cs="楷体"/>
          <w:bCs w:val="0"/>
          <w:color w:val="auto"/>
          <w:szCs w:val="32"/>
          <w:lang w:val="en-US" w:eastAsia="zh-CN"/>
        </w:rPr>
        <w:t>7.成立评审小组</w:t>
      </w:r>
      <w:r>
        <w:rPr>
          <w:color w:val="auto"/>
        </w:rPr>
        <w:tab/>
      </w:r>
      <w:r>
        <w:rPr>
          <w:color w:val="auto"/>
        </w:rPr>
        <w:fldChar w:fldCharType="begin"/>
      </w:r>
      <w:r>
        <w:rPr>
          <w:color w:val="auto"/>
        </w:rPr>
        <w:instrText xml:space="preserve"> PAGEREF _Toc12905 \h </w:instrText>
      </w:r>
      <w:r>
        <w:rPr>
          <w:color w:val="auto"/>
        </w:rPr>
        <w:fldChar w:fldCharType="separate"/>
      </w:r>
      <w:r>
        <w:rPr>
          <w:color w:val="auto"/>
        </w:rPr>
        <w:t>8</w:t>
      </w:r>
      <w:r>
        <w:rPr>
          <w:color w:val="auto"/>
        </w:rPr>
        <w:fldChar w:fldCharType="end"/>
      </w:r>
      <w:r>
        <w:rPr>
          <w:color w:val="auto"/>
        </w:rPr>
        <w:fldChar w:fldCharType="end"/>
      </w:r>
    </w:p>
    <w:p w14:paraId="72987540">
      <w:pPr>
        <w:pStyle w:val="219"/>
        <w:tabs>
          <w:tab w:val="right" w:leader="dot" w:pos="8306"/>
        </w:tabs>
        <w:rPr>
          <w:color w:val="auto"/>
        </w:rPr>
      </w:pPr>
      <w:r>
        <w:rPr>
          <w:color w:val="auto"/>
        </w:rPr>
        <w:fldChar w:fldCharType="begin"/>
      </w:r>
      <w:r>
        <w:rPr>
          <w:color w:val="auto"/>
        </w:rPr>
        <w:instrText xml:space="preserve"> HYPERLINK \l _Toc5783 </w:instrText>
      </w:r>
      <w:r>
        <w:rPr>
          <w:color w:val="auto"/>
        </w:rPr>
        <w:fldChar w:fldCharType="separate"/>
      </w:r>
      <w:r>
        <w:rPr>
          <w:rFonts w:hint="eastAsia" w:ascii="楷体" w:hAnsi="楷体" w:eastAsia="楷体" w:cs="楷体"/>
          <w:bCs w:val="0"/>
          <w:color w:val="auto"/>
          <w:szCs w:val="32"/>
          <w:lang w:val="en-US" w:eastAsia="zh-CN"/>
        </w:rPr>
        <w:t>8.响应文件的审查</w:t>
      </w:r>
      <w:r>
        <w:rPr>
          <w:color w:val="auto"/>
        </w:rPr>
        <w:tab/>
      </w:r>
      <w:r>
        <w:rPr>
          <w:color w:val="auto"/>
        </w:rPr>
        <w:fldChar w:fldCharType="begin"/>
      </w:r>
      <w:r>
        <w:rPr>
          <w:color w:val="auto"/>
        </w:rPr>
        <w:instrText xml:space="preserve"> PAGEREF _Toc5783 \h </w:instrText>
      </w:r>
      <w:r>
        <w:rPr>
          <w:color w:val="auto"/>
        </w:rPr>
        <w:fldChar w:fldCharType="separate"/>
      </w:r>
      <w:r>
        <w:rPr>
          <w:color w:val="auto"/>
        </w:rPr>
        <w:t>8</w:t>
      </w:r>
      <w:r>
        <w:rPr>
          <w:color w:val="auto"/>
        </w:rPr>
        <w:fldChar w:fldCharType="end"/>
      </w:r>
      <w:r>
        <w:rPr>
          <w:color w:val="auto"/>
        </w:rPr>
        <w:fldChar w:fldCharType="end"/>
      </w:r>
    </w:p>
    <w:p w14:paraId="493097B5">
      <w:pPr>
        <w:pStyle w:val="219"/>
        <w:tabs>
          <w:tab w:val="right" w:leader="dot" w:pos="8306"/>
        </w:tabs>
        <w:rPr>
          <w:color w:val="auto"/>
        </w:rPr>
      </w:pPr>
      <w:r>
        <w:rPr>
          <w:color w:val="auto"/>
        </w:rPr>
        <w:fldChar w:fldCharType="begin"/>
      </w:r>
      <w:r>
        <w:rPr>
          <w:color w:val="auto"/>
        </w:rPr>
        <w:instrText xml:space="preserve"> HYPERLINK \l _Toc10511 </w:instrText>
      </w:r>
      <w:r>
        <w:rPr>
          <w:color w:val="auto"/>
        </w:rPr>
        <w:fldChar w:fldCharType="separate"/>
      </w:r>
      <w:r>
        <w:rPr>
          <w:rFonts w:hint="eastAsia" w:ascii="楷体" w:hAnsi="楷体" w:eastAsia="楷体" w:cs="楷体"/>
          <w:bCs w:val="0"/>
          <w:color w:val="auto"/>
          <w:szCs w:val="32"/>
          <w:lang w:val="en-US" w:eastAsia="zh-CN"/>
        </w:rPr>
        <w:t>9.错误修正</w:t>
      </w:r>
      <w:r>
        <w:rPr>
          <w:color w:val="auto"/>
        </w:rPr>
        <w:tab/>
      </w:r>
      <w:r>
        <w:rPr>
          <w:color w:val="auto"/>
        </w:rPr>
        <w:fldChar w:fldCharType="begin"/>
      </w:r>
      <w:r>
        <w:rPr>
          <w:color w:val="auto"/>
        </w:rPr>
        <w:instrText xml:space="preserve"> PAGEREF _Toc10511 \h </w:instrText>
      </w:r>
      <w:r>
        <w:rPr>
          <w:color w:val="auto"/>
        </w:rPr>
        <w:fldChar w:fldCharType="separate"/>
      </w:r>
      <w:r>
        <w:rPr>
          <w:color w:val="auto"/>
        </w:rPr>
        <w:t>8</w:t>
      </w:r>
      <w:r>
        <w:rPr>
          <w:color w:val="auto"/>
        </w:rPr>
        <w:fldChar w:fldCharType="end"/>
      </w:r>
      <w:r>
        <w:rPr>
          <w:color w:val="auto"/>
        </w:rPr>
        <w:fldChar w:fldCharType="end"/>
      </w:r>
    </w:p>
    <w:p w14:paraId="3C39D796">
      <w:pPr>
        <w:pStyle w:val="219"/>
        <w:tabs>
          <w:tab w:val="right" w:leader="dot" w:pos="8306"/>
        </w:tabs>
        <w:rPr>
          <w:color w:val="auto"/>
        </w:rPr>
      </w:pPr>
      <w:r>
        <w:rPr>
          <w:color w:val="auto"/>
        </w:rPr>
        <w:fldChar w:fldCharType="begin"/>
      </w:r>
      <w:r>
        <w:rPr>
          <w:color w:val="auto"/>
        </w:rPr>
        <w:instrText xml:space="preserve"> HYPERLINK \l _Toc16850 </w:instrText>
      </w:r>
      <w:r>
        <w:rPr>
          <w:color w:val="auto"/>
        </w:rPr>
        <w:fldChar w:fldCharType="separate"/>
      </w:r>
      <w:r>
        <w:rPr>
          <w:rFonts w:hint="eastAsia" w:ascii="楷体" w:hAnsi="楷体" w:eastAsia="楷体" w:cs="楷体"/>
          <w:bCs w:val="0"/>
          <w:color w:val="auto"/>
          <w:szCs w:val="32"/>
          <w:lang w:val="en-US" w:eastAsia="zh-CN"/>
        </w:rPr>
        <w:t>10.询价</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9</w:t>
      </w:r>
      <w:r>
        <w:rPr>
          <w:color w:val="auto"/>
        </w:rPr>
        <w:fldChar w:fldCharType="end"/>
      </w:r>
      <w:r>
        <w:rPr>
          <w:color w:val="auto"/>
        </w:rPr>
        <w:fldChar w:fldCharType="end"/>
      </w:r>
    </w:p>
    <w:p w14:paraId="252F69C1">
      <w:pPr>
        <w:pStyle w:val="219"/>
        <w:tabs>
          <w:tab w:val="right" w:leader="dot" w:pos="8306"/>
        </w:tabs>
        <w:rPr>
          <w:color w:val="auto"/>
        </w:rPr>
      </w:pPr>
      <w:r>
        <w:rPr>
          <w:color w:val="auto"/>
        </w:rPr>
        <w:fldChar w:fldCharType="begin"/>
      </w:r>
      <w:r>
        <w:rPr>
          <w:color w:val="auto"/>
        </w:rPr>
        <w:instrText xml:space="preserve"> HYPERLINK \l _Toc8054 </w:instrText>
      </w:r>
      <w:r>
        <w:rPr>
          <w:color w:val="auto"/>
        </w:rPr>
        <w:fldChar w:fldCharType="separate"/>
      </w:r>
      <w:r>
        <w:rPr>
          <w:rFonts w:hint="eastAsia" w:ascii="楷体" w:hAnsi="楷体" w:eastAsia="楷体" w:cs="楷体"/>
          <w:bCs w:val="0"/>
          <w:color w:val="auto"/>
          <w:szCs w:val="32"/>
          <w:lang w:val="en-US" w:eastAsia="zh-CN"/>
        </w:rPr>
        <w:t>11.评审结果</w:t>
      </w:r>
      <w:r>
        <w:rPr>
          <w:color w:val="auto"/>
        </w:rPr>
        <w:tab/>
      </w:r>
      <w:r>
        <w:rPr>
          <w:color w:val="auto"/>
        </w:rPr>
        <w:fldChar w:fldCharType="begin"/>
      </w:r>
      <w:r>
        <w:rPr>
          <w:color w:val="auto"/>
        </w:rPr>
        <w:instrText xml:space="preserve"> PAGEREF _Toc8054 \h </w:instrText>
      </w:r>
      <w:r>
        <w:rPr>
          <w:color w:val="auto"/>
        </w:rPr>
        <w:fldChar w:fldCharType="separate"/>
      </w:r>
      <w:r>
        <w:rPr>
          <w:color w:val="auto"/>
        </w:rPr>
        <w:t>10</w:t>
      </w:r>
      <w:r>
        <w:rPr>
          <w:color w:val="auto"/>
        </w:rPr>
        <w:fldChar w:fldCharType="end"/>
      </w:r>
      <w:r>
        <w:rPr>
          <w:color w:val="auto"/>
        </w:rPr>
        <w:fldChar w:fldCharType="end"/>
      </w:r>
    </w:p>
    <w:p w14:paraId="737C3A42">
      <w:pPr>
        <w:pStyle w:val="219"/>
        <w:tabs>
          <w:tab w:val="right" w:leader="dot" w:pos="8306"/>
        </w:tabs>
        <w:rPr>
          <w:color w:val="auto"/>
        </w:rPr>
      </w:pPr>
      <w:r>
        <w:rPr>
          <w:color w:val="auto"/>
        </w:rPr>
        <w:fldChar w:fldCharType="begin"/>
      </w:r>
      <w:r>
        <w:rPr>
          <w:color w:val="auto"/>
        </w:rPr>
        <w:instrText xml:space="preserve"> HYPERLINK \l _Toc1393 </w:instrText>
      </w:r>
      <w:r>
        <w:rPr>
          <w:color w:val="auto"/>
        </w:rPr>
        <w:fldChar w:fldCharType="separate"/>
      </w:r>
      <w:r>
        <w:rPr>
          <w:rFonts w:hint="eastAsia" w:ascii="楷体" w:hAnsi="楷体" w:eastAsia="楷体" w:cs="楷体"/>
          <w:bCs w:val="0"/>
          <w:color w:val="auto"/>
          <w:szCs w:val="32"/>
          <w:lang w:val="en-US" w:eastAsia="zh-CN"/>
        </w:rPr>
        <w:t>12.确定供应商</w:t>
      </w:r>
      <w:r>
        <w:rPr>
          <w:color w:val="auto"/>
        </w:rPr>
        <w:tab/>
      </w:r>
      <w:r>
        <w:rPr>
          <w:color w:val="auto"/>
        </w:rPr>
        <w:fldChar w:fldCharType="begin"/>
      </w:r>
      <w:r>
        <w:rPr>
          <w:color w:val="auto"/>
        </w:rPr>
        <w:instrText xml:space="preserve"> PAGEREF _Toc1393 \h </w:instrText>
      </w:r>
      <w:r>
        <w:rPr>
          <w:color w:val="auto"/>
        </w:rPr>
        <w:fldChar w:fldCharType="separate"/>
      </w:r>
      <w:r>
        <w:rPr>
          <w:color w:val="auto"/>
        </w:rPr>
        <w:t>10</w:t>
      </w:r>
      <w:r>
        <w:rPr>
          <w:color w:val="auto"/>
        </w:rPr>
        <w:fldChar w:fldCharType="end"/>
      </w:r>
      <w:r>
        <w:rPr>
          <w:color w:val="auto"/>
        </w:rPr>
        <w:fldChar w:fldCharType="end"/>
      </w:r>
    </w:p>
    <w:p w14:paraId="08F27A0E">
      <w:pPr>
        <w:pStyle w:val="219"/>
        <w:tabs>
          <w:tab w:val="right" w:leader="dot" w:pos="8306"/>
        </w:tabs>
        <w:rPr>
          <w:color w:val="auto"/>
        </w:rPr>
      </w:pPr>
      <w:r>
        <w:rPr>
          <w:color w:val="auto"/>
        </w:rPr>
        <w:fldChar w:fldCharType="begin"/>
      </w:r>
      <w:r>
        <w:rPr>
          <w:color w:val="auto"/>
        </w:rPr>
        <w:instrText xml:space="preserve"> HYPERLINK \l _Toc12989 </w:instrText>
      </w:r>
      <w:r>
        <w:rPr>
          <w:color w:val="auto"/>
        </w:rPr>
        <w:fldChar w:fldCharType="separate"/>
      </w:r>
      <w:r>
        <w:rPr>
          <w:rFonts w:hint="eastAsia" w:ascii="楷体" w:hAnsi="楷体" w:eastAsia="楷体" w:cs="楷体"/>
          <w:bCs w:val="0"/>
          <w:color w:val="auto"/>
          <w:szCs w:val="32"/>
          <w:lang w:val="en-US" w:eastAsia="zh-CN"/>
        </w:rPr>
        <w:t>13.发出成交通知书</w:t>
      </w:r>
      <w:r>
        <w:rPr>
          <w:color w:val="auto"/>
        </w:rPr>
        <w:tab/>
      </w:r>
      <w:r>
        <w:rPr>
          <w:color w:val="auto"/>
        </w:rPr>
        <w:fldChar w:fldCharType="begin"/>
      </w:r>
      <w:r>
        <w:rPr>
          <w:color w:val="auto"/>
        </w:rPr>
        <w:instrText xml:space="preserve"> PAGEREF _Toc12989 \h </w:instrText>
      </w:r>
      <w:r>
        <w:rPr>
          <w:color w:val="auto"/>
        </w:rPr>
        <w:fldChar w:fldCharType="separate"/>
      </w:r>
      <w:r>
        <w:rPr>
          <w:color w:val="auto"/>
        </w:rPr>
        <w:t>10</w:t>
      </w:r>
      <w:r>
        <w:rPr>
          <w:color w:val="auto"/>
        </w:rPr>
        <w:fldChar w:fldCharType="end"/>
      </w:r>
      <w:r>
        <w:rPr>
          <w:color w:val="auto"/>
        </w:rPr>
        <w:fldChar w:fldCharType="end"/>
      </w:r>
    </w:p>
    <w:p w14:paraId="1A77F7A9">
      <w:pPr>
        <w:pStyle w:val="219"/>
        <w:tabs>
          <w:tab w:val="right" w:leader="dot" w:pos="8306"/>
        </w:tabs>
        <w:rPr>
          <w:color w:val="auto"/>
        </w:rPr>
      </w:pPr>
      <w:r>
        <w:rPr>
          <w:color w:val="auto"/>
        </w:rPr>
        <w:fldChar w:fldCharType="begin"/>
      </w:r>
      <w:r>
        <w:rPr>
          <w:color w:val="auto"/>
        </w:rPr>
        <w:instrText xml:space="preserve"> HYPERLINK \l _Toc14674 </w:instrText>
      </w:r>
      <w:r>
        <w:rPr>
          <w:color w:val="auto"/>
        </w:rPr>
        <w:fldChar w:fldCharType="separate"/>
      </w:r>
      <w:r>
        <w:rPr>
          <w:rFonts w:hint="eastAsia" w:ascii="楷体" w:hAnsi="楷体" w:eastAsia="楷体" w:cs="楷体"/>
          <w:bCs w:val="0"/>
          <w:color w:val="auto"/>
          <w:szCs w:val="32"/>
          <w:lang w:val="en-US" w:eastAsia="zh-CN"/>
        </w:rPr>
        <w:t>14.签订合同</w:t>
      </w:r>
      <w:r>
        <w:rPr>
          <w:color w:val="auto"/>
        </w:rPr>
        <w:tab/>
      </w:r>
      <w:r>
        <w:rPr>
          <w:color w:val="auto"/>
        </w:rPr>
        <w:fldChar w:fldCharType="begin"/>
      </w:r>
      <w:r>
        <w:rPr>
          <w:color w:val="auto"/>
        </w:rPr>
        <w:instrText xml:space="preserve"> PAGEREF _Toc14674 \h </w:instrText>
      </w:r>
      <w:r>
        <w:rPr>
          <w:color w:val="auto"/>
        </w:rPr>
        <w:fldChar w:fldCharType="separate"/>
      </w:r>
      <w:r>
        <w:rPr>
          <w:color w:val="auto"/>
        </w:rPr>
        <w:t>10</w:t>
      </w:r>
      <w:r>
        <w:rPr>
          <w:color w:val="auto"/>
        </w:rPr>
        <w:fldChar w:fldCharType="end"/>
      </w:r>
      <w:r>
        <w:rPr>
          <w:color w:val="auto"/>
        </w:rPr>
        <w:fldChar w:fldCharType="end"/>
      </w:r>
    </w:p>
    <w:p w14:paraId="212976EF">
      <w:pPr>
        <w:pStyle w:val="219"/>
        <w:tabs>
          <w:tab w:val="right" w:leader="dot" w:pos="8306"/>
        </w:tabs>
        <w:rPr>
          <w:color w:val="auto"/>
        </w:rPr>
      </w:pPr>
      <w:r>
        <w:rPr>
          <w:color w:val="auto"/>
        </w:rPr>
        <w:fldChar w:fldCharType="begin"/>
      </w:r>
      <w:r>
        <w:rPr>
          <w:color w:val="auto"/>
        </w:rPr>
        <w:instrText xml:space="preserve"> HYPERLINK \l _Toc13722 </w:instrText>
      </w:r>
      <w:r>
        <w:rPr>
          <w:color w:val="auto"/>
        </w:rPr>
        <w:fldChar w:fldCharType="separate"/>
      </w:r>
      <w:r>
        <w:rPr>
          <w:rFonts w:hint="eastAsia" w:ascii="楷体" w:hAnsi="楷体" w:eastAsia="楷体" w:cs="楷体"/>
          <w:bCs w:val="0"/>
          <w:color w:val="auto"/>
          <w:szCs w:val="32"/>
          <w:lang w:val="en-US" w:eastAsia="zh-CN"/>
        </w:rPr>
        <w:t>15.终止询价采购</w:t>
      </w:r>
      <w:r>
        <w:rPr>
          <w:color w:val="auto"/>
        </w:rPr>
        <w:tab/>
      </w:r>
      <w:r>
        <w:rPr>
          <w:color w:val="auto"/>
        </w:rPr>
        <w:fldChar w:fldCharType="begin"/>
      </w:r>
      <w:r>
        <w:rPr>
          <w:color w:val="auto"/>
        </w:rPr>
        <w:instrText xml:space="preserve"> PAGEREF _Toc13722 \h </w:instrText>
      </w:r>
      <w:r>
        <w:rPr>
          <w:color w:val="auto"/>
        </w:rPr>
        <w:fldChar w:fldCharType="separate"/>
      </w:r>
      <w:r>
        <w:rPr>
          <w:color w:val="auto"/>
        </w:rPr>
        <w:t>11</w:t>
      </w:r>
      <w:r>
        <w:rPr>
          <w:color w:val="auto"/>
        </w:rPr>
        <w:fldChar w:fldCharType="end"/>
      </w:r>
      <w:r>
        <w:rPr>
          <w:color w:val="auto"/>
        </w:rPr>
        <w:fldChar w:fldCharType="end"/>
      </w:r>
    </w:p>
    <w:p w14:paraId="75E8CF03">
      <w:pPr>
        <w:pStyle w:val="218"/>
        <w:tabs>
          <w:tab w:val="right" w:leader="dot" w:pos="8306"/>
        </w:tabs>
        <w:rPr>
          <w:b/>
          <w:color w:val="auto"/>
        </w:rPr>
      </w:pPr>
      <w:r>
        <w:rPr>
          <w:b/>
          <w:color w:val="auto"/>
        </w:rPr>
        <w:fldChar w:fldCharType="begin"/>
      </w:r>
      <w:r>
        <w:rPr>
          <w:b/>
          <w:color w:val="auto"/>
        </w:rPr>
        <w:instrText xml:space="preserve"> HYPERLINK \l _Toc7770 </w:instrText>
      </w:r>
      <w:r>
        <w:rPr>
          <w:b/>
          <w:color w:val="auto"/>
        </w:rPr>
        <w:fldChar w:fldCharType="separate"/>
      </w:r>
      <w:r>
        <w:rPr>
          <w:rFonts w:hint="eastAsia" w:ascii="Times New Roman" w:hAnsi="黑体" w:eastAsia="黑体"/>
          <w:b/>
          <w:bCs w:val="0"/>
          <w:color w:val="auto"/>
          <w:szCs w:val="32"/>
        </w:rPr>
        <w:t>第</w:t>
      </w:r>
      <w:r>
        <w:rPr>
          <w:rFonts w:hint="eastAsia" w:ascii="Times New Roman" w:hAnsi="黑体" w:eastAsia="黑体"/>
          <w:b/>
          <w:bCs w:val="0"/>
          <w:color w:val="auto"/>
          <w:szCs w:val="32"/>
          <w:lang w:val="en-US" w:eastAsia="zh-CN"/>
        </w:rPr>
        <w:t>三</w:t>
      </w:r>
      <w:r>
        <w:rPr>
          <w:rFonts w:hint="eastAsia" w:ascii="Times New Roman" w:hAnsi="黑体" w:eastAsia="黑体"/>
          <w:b/>
          <w:bCs w:val="0"/>
          <w:color w:val="auto"/>
          <w:szCs w:val="32"/>
        </w:rPr>
        <w:t xml:space="preserve">章  </w:t>
      </w:r>
      <w:r>
        <w:rPr>
          <w:rFonts w:hint="eastAsia" w:ascii="Times New Roman" w:hAnsi="黑体" w:eastAsia="黑体"/>
          <w:b/>
          <w:bCs w:val="0"/>
          <w:color w:val="auto"/>
          <w:szCs w:val="32"/>
          <w:lang w:val="en-US" w:eastAsia="zh-CN"/>
        </w:rPr>
        <w:t>项目要求</w:t>
      </w:r>
      <w:r>
        <w:rPr>
          <w:b/>
          <w:color w:val="auto"/>
        </w:rPr>
        <w:tab/>
      </w:r>
      <w:r>
        <w:rPr>
          <w:b/>
          <w:color w:val="auto"/>
        </w:rPr>
        <w:fldChar w:fldCharType="begin"/>
      </w:r>
      <w:r>
        <w:rPr>
          <w:b/>
          <w:color w:val="auto"/>
        </w:rPr>
        <w:instrText xml:space="preserve"> PAGEREF _Toc7770 \h </w:instrText>
      </w:r>
      <w:r>
        <w:rPr>
          <w:b/>
          <w:color w:val="auto"/>
        </w:rPr>
        <w:fldChar w:fldCharType="separate"/>
      </w:r>
      <w:r>
        <w:rPr>
          <w:b/>
          <w:color w:val="auto"/>
        </w:rPr>
        <w:t>13</w:t>
      </w:r>
      <w:r>
        <w:rPr>
          <w:b/>
          <w:color w:val="auto"/>
        </w:rPr>
        <w:fldChar w:fldCharType="end"/>
      </w:r>
      <w:r>
        <w:rPr>
          <w:b/>
          <w:color w:val="auto"/>
        </w:rPr>
        <w:fldChar w:fldCharType="end"/>
      </w:r>
    </w:p>
    <w:p w14:paraId="1EF46FB5">
      <w:pPr>
        <w:pStyle w:val="219"/>
        <w:tabs>
          <w:tab w:val="right" w:leader="dot" w:pos="8306"/>
        </w:tabs>
        <w:rPr>
          <w:color w:val="auto"/>
        </w:rPr>
      </w:pPr>
      <w:r>
        <w:rPr>
          <w:color w:val="auto"/>
        </w:rPr>
        <w:fldChar w:fldCharType="begin"/>
      </w:r>
      <w:r>
        <w:rPr>
          <w:color w:val="auto"/>
        </w:rPr>
        <w:instrText xml:space="preserve"> HYPERLINK \l _Toc25151 </w:instrText>
      </w:r>
      <w:r>
        <w:rPr>
          <w:color w:val="auto"/>
        </w:rPr>
        <w:fldChar w:fldCharType="separate"/>
      </w:r>
      <w:r>
        <w:rPr>
          <w:rFonts w:hint="eastAsia" w:ascii="楷体" w:hAnsi="楷体" w:eastAsia="楷体" w:cs="楷体"/>
          <w:bCs/>
          <w:color w:val="auto"/>
          <w:szCs w:val="32"/>
          <w:lang w:val="en-US" w:eastAsia="zh-CN"/>
        </w:rPr>
        <w:t>一、商务要求</w:t>
      </w:r>
      <w:r>
        <w:rPr>
          <w:color w:val="auto"/>
        </w:rPr>
        <w:tab/>
      </w:r>
      <w:r>
        <w:rPr>
          <w:color w:val="auto"/>
        </w:rPr>
        <w:fldChar w:fldCharType="begin"/>
      </w:r>
      <w:r>
        <w:rPr>
          <w:color w:val="auto"/>
        </w:rPr>
        <w:instrText xml:space="preserve"> PAGEREF _Toc25151 \h </w:instrText>
      </w:r>
      <w:r>
        <w:rPr>
          <w:color w:val="auto"/>
        </w:rPr>
        <w:fldChar w:fldCharType="separate"/>
      </w:r>
      <w:r>
        <w:rPr>
          <w:color w:val="auto"/>
        </w:rPr>
        <w:t>13</w:t>
      </w:r>
      <w:r>
        <w:rPr>
          <w:color w:val="auto"/>
        </w:rPr>
        <w:fldChar w:fldCharType="end"/>
      </w:r>
      <w:r>
        <w:rPr>
          <w:color w:val="auto"/>
        </w:rPr>
        <w:fldChar w:fldCharType="end"/>
      </w:r>
    </w:p>
    <w:p w14:paraId="37C3DD12">
      <w:pPr>
        <w:pStyle w:val="219"/>
        <w:tabs>
          <w:tab w:val="right" w:leader="dot" w:pos="8306"/>
        </w:tabs>
        <w:rPr>
          <w:color w:val="auto"/>
        </w:rPr>
      </w:pPr>
      <w:r>
        <w:rPr>
          <w:color w:val="auto"/>
        </w:rPr>
        <w:fldChar w:fldCharType="begin"/>
      </w:r>
      <w:r>
        <w:rPr>
          <w:color w:val="auto"/>
        </w:rPr>
        <w:instrText xml:space="preserve"> HYPERLINK \l _Toc5971 </w:instrText>
      </w:r>
      <w:r>
        <w:rPr>
          <w:color w:val="auto"/>
        </w:rPr>
        <w:fldChar w:fldCharType="separate"/>
      </w:r>
      <w:r>
        <w:rPr>
          <w:rFonts w:hint="eastAsia" w:ascii="楷体" w:hAnsi="楷体" w:eastAsia="楷体" w:cs="楷体"/>
          <w:bCs/>
          <w:color w:val="auto"/>
          <w:szCs w:val="32"/>
          <w:lang w:val="en-US" w:eastAsia="zh-CN"/>
        </w:rPr>
        <w:t>二、技术要求</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14</w:t>
      </w:r>
      <w:r>
        <w:rPr>
          <w:color w:val="auto"/>
        </w:rPr>
        <w:fldChar w:fldCharType="end"/>
      </w:r>
      <w:r>
        <w:rPr>
          <w:color w:val="auto"/>
        </w:rPr>
        <w:fldChar w:fldCharType="end"/>
      </w:r>
    </w:p>
    <w:p w14:paraId="3A7CA519">
      <w:pPr>
        <w:pStyle w:val="218"/>
        <w:tabs>
          <w:tab w:val="right" w:leader="dot" w:pos="8306"/>
        </w:tabs>
        <w:rPr>
          <w:b/>
          <w:color w:val="auto"/>
        </w:rPr>
      </w:pPr>
      <w:r>
        <w:rPr>
          <w:b/>
          <w:color w:val="auto"/>
        </w:rPr>
        <w:fldChar w:fldCharType="begin"/>
      </w:r>
      <w:r>
        <w:rPr>
          <w:b/>
          <w:color w:val="auto"/>
        </w:rPr>
        <w:instrText xml:space="preserve"> HYPERLINK \l _Toc17475 </w:instrText>
      </w:r>
      <w:r>
        <w:rPr>
          <w:b/>
          <w:color w:val="auto"/>
        </w:rPr>
        <w:fldChar w:fldCharType="separate"/>
      </w:r>
      <w:r>
        <w:rPr>
          <w:rFonts w:hint="eastAsia" w:ascii="Times New Roman" w:hAnsi="黑体" w:eastAsia="黑体"/>
          <w:b/>
          <w:bCs w:val="0"/>
          <w:color w:val="auto"/>
          <w:szCs w:val="32"/>
          <w:lang w:val="en-US" w:eastAsia="zh-CN"/>
        </w:rPr>
        <w:t>第四章</w:t>
      </w:r>
      <w:r>
        <w:rPr>
          <w:rFonts w:hint="eastAsia" w:ascii="Times New Roman" w:hAnsi="黑体" w:eastAsia="黑体"/>
          <w:b/>
          <w:bCs w:val="0"/>
          <w:color w:val="auto"/>
          <w:szCs w:val="32"/>
        </w:rPr>
        <w:t xml:space="preserve"> 响应文件格式</w:t>
      </w:r>
      <w:r>
        <w:rPr>
          <w:b/>
          <w:color w:val="auto"/>
        </w:rPr>
        <w:tab/>
      </w:r>
      <w:r>
        <w:rPr>
          <w:b/>
          <w:color w:val="auto"/>
        </w:rPr>
        <w:fldChar w:fldCharType="begin"/>
      </w:r>
      <w:r>
        <w:rPr>
          <w:b/>
          <w:color w:val="auto"/>
        </w:rPr>
        <w:instrText xml:space="preserve"> PAGEREF _Toc17475 \h </w:instrText>
      </w:r>
      <w:r>
        <w:rPr>
          <w:b/>
          <w:color w:val="auto"/>
        </w:rPr>
        <w:fldChar w:fldCharType="separate"/>
      </w:r>
      <w:r>
        <w:rPr>
          <w:b/>
          <w:color w:val="auto"/>
        </w:rPr>
        <w:t>15</w:t>
      </w:r>
      <w:r>
        <w:rPr>
          <w:b/>
          <w:color w:val="auto"/>
        </w:rPr>
        <w:fldChar w:fldCharType="end"/>
      </w:r>
      <w:r>
        <w:rPr>
          <w:b/>
          <w:color w:val="auto"/>
        </w:rPr>
        <w:fldChar w:fldCharType="end"/>
      </w:r>
    </w:p>
    <w:p w14:paraId="7A417FEF">
      <w:pPr>
        <w:pStyle w:val="219"/>
        <w:tabs>
          <w:tab w:val="right" w:leader="dot" w:pos="8306"/>
        </w:tabs>
        <w:rPr>
          <w:color w:val="auto"/>
        </w:rPr>
      </w:pPr>
      <w:r>
        <w:rPr>
          <w:color w:val="auto"/>
        </w:rPr>
        <w:fldChar w:fldCharType="begin"/>
      </w:r>
      <w:r>
        <w:rPr>
          <w:color w:val="auto"/>
        </w:rPr>
        <w:instrText xml:space="preserve"> HYPERLINK \l _Toc11675 </w:instrText>
      </w:r>
      <w:r>
        <w:rPr>
          <w:color w:val="auto"/>
        </w:rPr>
        <w:fldChar w:fldCharType="separate"/>
      </w:r>
      <w:r>
        <w:rPr>
          <w:rFonts w:hint="eastAsia"/>
          <w:color w:val="auto"/>
          <w:lang w:val="en-US" w:eastAsia="zh-CN"/>
        </w:rPr>
        <w:t>一、询价</w:t>
      </w:r>
      <w:r>
        <w:rPr>
          <w:rFonts w:hint="eastAsia"/>
          <w:color w:val="auto"/>
        </w:rPr>
        <w:t>响应函</w:t>
      </w:r>
      <w:r>
        <w:rPr>
          <w:color w:val="auto"/>
        </w:rPr>
        <w:tab/>
      </w:r>
      <w:r>
        <w:rPr>
          <w:color w:val="auto"/>
        </w:rPr>
        <w:fldChar w:fldCharType="begin"/>
      </w:r>
      <w:r>
        <w:rPr>
          <w:color w:val="auto"/>
        </w:rPr>
        <w:instrText xml:space="preserve"> PAGEREF _Toc11675 \h </w:instrText>
      </w:r>
      <w:r>
        <w:rPr>
          <w:color w:val="auto"/>
        </w:rPr>
        <w:fldChar w:fldCharType="separate"/>
      </w:r>
      <w:r>
        <w:rPr>
          <w:color w:val="auto"/>
        </w:rPr>
        <w:t>16</w:t>
      </w:r>
      <w:r>
        <w:rPr>
          <w:color w:val="auto"/>
        </w:rPr>
        <w:fldChar w:fldCharType="end"/>
      </w:r>
      <w:r>
        <w:rPr>
          <w:color w:val="auto"/>
        </w:rPr>
        <w:fldChar w:fldCharType="end"/>
      </w:r>
    </w:p>
    <w:p w14:paraId="41387DCF">
      <w:pPr>
        <w:pStyle w:val="219"/>
        <w:tabs>
          <w:tab w:val="right" w:leader="dot" w:pos="8306"/>
        </w:tabs>
        <w:rPr>
          <w:color w:val="auto"/>
        </w:rPr>
      </w:pPr>
      <w:r>
        <w:rPr>
          <w:color w:val="auto"/>
        </w:rPr>
        <w:fldChar w:fldCharType="begin"/>
      </w:r>
      <w:r>
        <w:rPr>
          <w:color w:val="auto"/>
        </w:rPr>
        <w:instrText xml:space="preserve"> HYPERLINK \l _Toc25357 </w:instrText>
      </w:r>
      <w:r>
        <w:rPr>
          <w:color w:val="auto"/>
        </w:rPr>
        <w:fldChar w:fldCharType="separate"/>
      </w:r>
      <w:r>
        <w:rPr>
          <w:rFonts w:hint="eastAsia"/>
          <w:color w:val="auto"/>
          <w:lang w:val="en-US" w:eastAsia="zh-CN"/>
        </w:rPr>
        <w:t>二、</w:t>
      </w:r>
      <w:r>
        <w:rPr>
          <w:rFonts w:hint="eastAsia"/>
          <w:color w:val="auto"/>
        </w:rPr>
        <w:t>报价表</w:t>
      </w:r>
      <w:r>
        <w:rPr>
          <w:color w:val="auto"/>
        </w:rPr>
        <w:tab/>
      </w:r>
      <w:r>
        <w:rPr>
          <w:color w:val="auto"/>
        </w:rPr>
        <w:fldChar w:fldCharType="begin"/>
      </w:r>
      <w:r>
        <w:rPr>
          <w:color w:val="auto"/>
        </w:rPr>
        <w:instrText xml:space="preserve"> PAGEREF _Toc25357 \h </w:instrText>
      </w:r>
      <w:r>
        <w:rPr>
          <w:color w:val="auto"/>
        </w:rPr>
        <w:fldChar w:fldCharType="separate"/>
      </w:r>
      <w:r>
        <w:rPr>
          <w:color w:val="auto"/>
        </w:rPr>
        <w:t>17</w:t>
      </w:r>
      <w:r>
        <w:rPr>
          <w:color w:val="auto"/>
        </w:rPr>
        <w:fldChar w:fldCharType="end"/>
      </w:r>
      <w:r>
        <w:rPr>
          <w:color w:val="auto"/>
        </w:rPr>
        <w:fldChar w:fldCharType="end"/>
      </w:r>
    </w:p>
    <w:p w14:paraId="0999C795">
      <w:pPr>
        <w:pStyle w:val="219"/>
        <w:tabs>
          <w:tab w:val="right" w:leader="dot" w:pos="8306"/>
        </w:tabs>
        <w:rPr>
          <w:color w:val="auto"/>
        </w:rPr>
      </w:pPr>
      <w:r>
        <w:rPr>
          <w:color w:val="auto"/>
        </w:rPr>
        <w:fldChar w:fldCharType="begin"/>
      </w:r>
      <w:r>
        <w:rPr>
          <w:color w:val="auto"/>
        </w:rPr>
        <w:instrText xml:space="preserve"> HYPERLINK \l _Toc26748 </w:instrText>
      </w:r>
      <w:r>
        <w:rPr>
          <w:color w:val="auto"/>
        </w:rPr>
        <w:fldChar w:fldCharType="separate"/>
      </w:r>
      <w:r>
        <w:rPr>
          <w:rFonts w:hint="eastAsia"/>
          <w:color w:val="auto"/>
          <w:lang w:val="en-US" w:eastAsia="zh-CN"/>
        </w:rPr>
        <w:t>三、</w:t>
      </w:r>
      <w:r>
        <w:rPr>
          <w:rFonts w:hint="eastAsia"/>
          <w:color w:val="auto"/>
        </w:rPr>
        <w:t>法定代表人授权书</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18</w:t>
      </w:r>
      <w:r>
        <w:rPr>
          <w:color w:val="auto"/>
        </w:rPr>
        <w:fldChar w:fldCharType="end"/>
      </w:r>
      <w:r>
        <w:rPr>
          <w:color w:val="auto"/>
        </w:rPr>
        <w:fldChar w:fldCharType="end"/>
      </w:r>
    </w:p>
    <w:p w14:paraId="2D7F5015">
      <w:pPr>
        <w:pStyle w:val="219"/>
        <w:tabs>
          <w:tab w:val="right" w:leader="dot" w:pos="8306"/>
        </w:tabs>
        <w:rPr>
          <w:color w:val="auto"/>
        </w:rPr>
      </w:pPr>
      <w:r>
        <w:rPr>
          <w:color w:val="auto"/>
        </w:rPr>
        <w:fldChar w:fldCharType="begin"/>
      </w:r>
      <w:r>
        <w:rPr>
          <w:color w:val="auto"/>
        </w:rPr>
        <w:instrText xml:space="preserve"> HYPERLINK \l _Toc14413 </w:instrText>
      </w:r>
      <w:r>
        <w:rPr>
          <w:color w:val="auto"/>
        </w:rPr>
        <w:fldChar w:fldCharType="separate"/>
      </w:r>
      <w:r>
        <w:rPr>
          <w:rFonts w:hint="eastAsia"/>
          <w:color w:val="auto"/>
          <w:lang w:val="en-US" w:eastAsia="zh-CN"/>
        </w:rPr>
        <w:t>四、</w:t>
      </w:r>
      <w:r>
        <w:rPr>
          <w:rFonts w:hint="eastAsia"/>
          <w:color w:val="auto"/>
        </w:rPr>
        <w:t>商务条款响应/偏离表格式</w:t>
      </w:r>
      <w:r>
        <w:rPr>
          <w:color w:val="auto"/>
        </w:rPr>
        <w:tab/>
      </w:r>
      <w:r>
        <w:rPr>
          <w:color w:val="auto"/>
        </w:rPr>
        <w:fldChar w:fldCharType="begin"/>
      </w:r>
      <w:r>
        <w:rPr>
          <w:color w:val="auto"/>
        </w:rPr>
        <w:instrText xml:space="preserve"> PAGEREF _Toc14413 \h </w:instrText>
      </w:r>
      <w:r>
        <w:rPr>
          <w:color w:val="auto"/>
        </w:rPr>
        <w:fldChar w:fldCharType="separate"/>
      </w:r>
      <w:r>
        <w:rPr>
          <w:color w:val="auto"/>
        </w:rPr>
        <w:t>20</w:t>
      </w:r>
      <w:r>
        <w:rPr>
          <w:color w:val="auto"/>
        </w:rPr>
        <w:fldChar w:fldCharType="end"/>
      </w:r>
      <w:r>
        <w:rPr>
          <w:color w:val="auto"/>
        </w:rPr>
        <w:fldChar w:fldCharType="end"/>
      </w:r>
    </w:p>
    <w:p w14:paraId="157A45BA">
      <w:pPr>
        <w:pStyle w:val="219"/>
        <w:tabs>
          <w:tab w:val="right" w:leader="dot" w:pos="8306"/>
        </w:tabs>
        <w:rPr>
          <w:color w:val="auto"/>
        </w:rPr>
      </w:pPr>
      <w:r>
        <w:rPr>
          <w:color w:val="auto"/>
        </w:rPr>
        <w:fldChar w:fldCharType="begin"/>
      </w:r>
      <w:r>
        <w:rPr>
          <w:color w:val="auto"/>
        </w:rPr>
        <w:instrText xml:space="preserve"> HYPERLINK \l _Toc15800 </w:instrText>
      </w:r>
      <w:r>
        <w:rPr>
          <w:color w:val="auto"/>
        </w:rPr>
        <w:fldChar w:fldCharType="separate"/>
      </w:r>
      <w:r>
        <w:rPr>
          <w:rFonts w:hint="eastAsia"/>
          <w:color w:val="auto"/>
          <w:lang w:val="en-US" w:eastAsia="zh-CN"/>
        </w:rPr>
        <w:t>五、</w:t>
      </w:r>
      <w:r>
        <w:rPr>
          <w:rFonts w:hint="eastAsia"/>
          <w:color w:val="auto"/>
        </w:rPr>
        <w:t>技术要求响应/偏离表格式</w:t>
      </w:r>
      <w:r>
        <w:rPr>
          <w:color w:val="auto"/>
        </w:rPr>
        <w:tab/>
      </w:r>
      <w:r>
        <w:rPr>
          <w:color w:val="auto"/>
        </w:rPr>
        <w:fldChar w:fldCharType="begin"/>
      </w:r>
      <w:r>
        <w:rPr>
          <w:color w:val="auto"/>
        </w:rPr>
        <w:instrText xml:space="preserve"> PAGEREF _Toc15800 \h </w:instrText>
      </w:r>
      <w:r>
        <w:rPr>
          <w:color w:val="auto"/>
        </w:rPr>
        <w:fldChar w:fldCharType="separate"/>
      </w:r>
      <w:r>
        <w:rPr>
          <w:color w:val="auto"/>
        </w:rPr>
        <w:t>21</w:t>
      </w:r>
      <w:r>
        <w:rPr>
          <w:color w:val="auto"/>
        </w:rPr>
        <w:fldChar w:fldCharType="end"/>
      </w:r>
      <w:r>
        <w:rPr>
          <w:color w:val="auto"/>
        </w:rPr>
        <w:fldChar w:fldCharType="end"/>
      </w:r>
    </w:p>
    <w:p w14:paraId="40E0547B">
      <w:pPr>
        <w:pStyle w:val="219"/>
        <w:tabs>
          <w:tab w:val="right" w:leader="dot" w:pos="8306"/>
        </w:tabs>
        <w:rPr>
          <w:color w:val="auto"/>
        </w:rPr>
      </w:pPr>
      <w:r>
        <w:rPr>
          <w:color w:val="auto"/>
        </w:rPr>
        <w:fldChar w:fldCharType="begin"/>
      </w:r>
      <w:r>
        <w:rPr>
          <w:color w:val="auto"/>
        </w:rPr>
        <w:instrText xml:space="preserve"> HYPERLINK \l _Toc4974 </w:instrText>
      </w:r>
      <w:r>
        <w:rPr>
          <w:color w:val="auto"/>
        </w:rPr>
        <w:fldChar w:fldCharType="separate"/>
      </w:r>
      <w:r>
        <w:rPr>
          <w:rFonts w:hint="eastAsia"/>
          <w:color w:val="auto"/>
          <w:lang w:val="en-US" w:eastAsia="zh-CN"/>
        </w:rPr>
        <w:t>六、</w:t>
      </w:r>
      <w:r>
        <w:rPr>
          <w:rFonts w:hint="eastAsia"/>
          <w:color w:val="auto"/>
        </w:rPr>
        <w:t>资格证明材料</w:t>
      </w:r>
      <w:r>
        <w:rPr>
          <w:color w:val="auto"/>
        </w:rPr>
        <w:tab/>
      </w:r>
      <w:r>
        <w:rPr>
          <w:color w:val="auto"/>
        </w:rPr>
        <w:fldChar w:fldCharType="begin"/>
      </w:r>
      <w:r>
        <w:rPr>
          <w:color w:val="auto"/>
        </w:rPr>
        <w:instrText xml:space="preserve"> PAGEREF _Toc4974 \h </w:instrText>
      </w:r>
      <w:r>
        <w:rPr>
          <w:color w:val="auto"/>
        </w:rPr>
        <w:fldChar w:fldCharType="separate"/>
      </w:r>
      <w:r>
        <w:rPr>
          <w:color w:val="auto"/>
        </w:rPr>
        <w:t>22</w:t>
      </w:r>
      <w:r>
        <w:rPr>
          <w:color w:val="auto"/>
        </w:rPr>
        <w:fldChar w:fldCharType="end"/>
      </w:r>
      <w:r>
        <w:rPr>
          <w:color w:val="auto"/>
        </w:rPr>
        <w:fldChar w:fldCharType="end"/>
      </w:r>
    </w:p>
    <w:p w14:paraId="3C740A0E">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1 营业执照等相关资格证明材料</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w:t>
      </w:r>
      <w:r>
        <w:rPr>
          <w:rFonts w:hint="eastAsia"/>
          <w:b w:val="0"/>
          <w:bCs/>
          <w:color w:val="auto"/>
          <w:lang w:val="en-US" w:eastAsia="zh-CN"/>
        </w:rPr>
        <w:t>2</w:t>
      </w:r>
      <w:r>
        <w:rPr>
          <w:b w:val="0"/>
          <w:bCs/>
          <w:color w:val="auto"/>
        </w:rPr>
        <w:fldChar w:fldCharType="end"/>
      </w:r>
      <w:r>
        <w:rPr>
          <w:b w:val="0"/>
          <w:bCs/>
          <w:color w:val="auto"/>
        </w:rPr>
        <w:fldChar w:fldCharType="end"/>
      </w:r>
    </w:p>
    <w:p w14:paraId="587917AD">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2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的承诺函</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w:t>
      </w:r>
      <w:r>
        <w:rPr>
          <w:rFonts w:hint="eastAsia"/>
          <w:b w:val="0"/>
          <w:bCs/>
          <w:color w:val="auto"/>
          <w:lang w:val="en-US" w:eastAsia="zh-CN"/>
        </w:rPr>
        <w:t>3</w:t>
      </w:r>
      <w:r>
        <w:rPr>
          <w:b w:val="0"/>
          <w:bCs/>
          <w:color w:val="auto"/>
        </w:rPr>
        <w:fldChar w:fldCharType="end"/>
      </w:r>
      <w:r>
        <w:rPr>
          <w:b w:val="0"/>
          <w:bCs/>
          <w:color w:val="auto"/>
        </w:rPr>
        <w:fldChar w:fldCharType="end"/>
      </w:r>
    </w:p>
    <w:p w14:paraId="0F4EF26E">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3 其他材料</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24</w:t>
      </w:r>
      <w:r>
        <w:rPr>
          <w:b w:val="0"/>
          <w:bCs/>
          <w:color w:val="auto"/>
        </w:rPr>
        <w:fldChar w:fldCharType="end"/>
      </w:r>
      <w:r>
        <w:rPr>
          <w:b w:val="0"/>
          <w:bCs/>
          <w:color w:val="auto"/>
        </w:rPr>
        <w:fldChar w:fldCharType="end"/>
      </w:r>
    </w:p>
    <w:p w14:paraId="5DCBC71B">
      <w:pPr>
        <w:rPr>
          <w:color w:val="auto"/>
        </w:rPr>
      </w:pPr>
      <w:r>
        <w:rPr>
          <w:b/>
          <w:color w:val="auto"/>
        </w:rPr>
        <w:fldChar w:fldCharType="end"/>
      </w:r>
    </w:p>
    <w:p w14:paraId="68C873CA">
      <w:pPr>
        <w:spacing w:line="360" w:lineRule="auto"/>
        <w:jc w:val="center"/>
        <w:outlineLvl w:val="0"/>
        <w:rPr>
          <w:rFonts w:hint="default" w:ascii="Times New Roman" w:hAnsi="Times New Roman" w:eastAsia="黑体"/>
          <w:bCs/>
          <w:color w:val="auto"/>
          <w:sz w:val="32"/>
          <w:szCs w:val="32"/>
          <w:lang w:val="en-US" w:eastAsia="zh-CN"/>
        </w:rPr>
      </w:pPr>
      <w:bookmarkStart w:id="4" w:name="_Toc3077"/>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3"/>
      <w:bookmarkEnd w:id="4"/>
      <w:r>
        <w:rPr>
          <w:rFonts w:hint="eastAsia" w:ascii="Times New Roman" w:hAnsi="黑体" w:eastAsia="黑体"/>
          <w:b/>
          <w:bCs w:val="0"/>
          <w:color w:val="auto"/>
          <w:sz w:val="32"/>
          <w:szCs w:val="32"/>
          <w:lang w:val="en-US" w:eastAsia="zh-CN"/>
        </w:rPr>
        <w:t>询价须知</w:t>
      </w:r>
    </w:p>
    <w:p w14:paraId="22E25987">
      <w:pPr>
        <w:keepNext w:val="0"/>
        <w:keepLines w:val="0"/>
        <w:pageBreakBefore w:val="0"/>
        <w:kinsoku/>
        <w:wordWrap/>
        <w:overflowPunct/>
        <w:topLinePunct w:val="0"/>
        <w:autoSpaceDE/>
        <w:autoSpaceDN/>
        <w:bidi w:val="0"/>
        <w:snapToGrid/>
        <w:spacing w:line="520" w:lineRule="exact"/>
        <w:ind w:left="0" w:leftChars="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根据项目进展情况</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u w:val="single"/>
          <w:lang w:val="en-US" w:eastAsia="zh-CN"/>
        </w:rPr>
        <w:t xml:space="preserve"> 江南宋城历史文化旅游区提升改造一期项目—灯光提升项目招标代理服务 </w:t>
      </w:r>
      <w:r>
        <w:rPr>
          <w:rFonts w:hint="eastAsia" w:ascii="仿宋_GB2312" w:hAnsi="仿宋_GB2312" w:eastAsia="仿宋_GB2312" w:cs="仿宋_GB2312"/>
          <w:color w:val="auto"/>
          <w:sz w:val="32"/>
          <w:szCs w:val="32"/>
        </w:rPr>
        <w:t>项目进行</w:t>
      </w:r>
      <w:r>
        <w:rPr>
          <w:rFonts w:hint="eastAsia" w:ascii="仿宋_GB2312" w:hAnsi="仿宋_GB2312" w:eastAsia="仿宋_GB2312" w:cs="仿宋_GB2312"/>
          <w:color w:val="auto"/>
          <w:sz w:val="32"/>
          <w:szCs w:val="32"/>
          <w:lang w:val="en-US" w:eastAsia="zh-CN"/>
        </w:rPr>
        <w:t>公开询价采购，具体内容如下</w:t>
      </w:r>
      <w:r>
        <w:rPr>
          <w:rFonts w:hint="eastAsia" w:ascii="仿宋_GB2312" w:hAnsi="仿宋_GB2312" w:eastAsia="仿宋_GB2312" w:cs="仿宋_GB2312"/>
          <w:color w:val="auto"/>
          <w:sz w:val="32"/>
          <w:szCs w:val="32"/>
        </w:rPr>
        <w:t>。</w:t>
      </w:r>
    </w:p>
    <w:p w14:paraId="0F9B7922">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5" w:name="_Toc31894"/>
      <w:bookmarkStart w:id="6" w:name="_Toc31733"/>
      <w:bookmarkStart w:id="7" w:name="_Toc22537"/>
      <w:bookmarkStart w:id="8" w:name="_Toc27893"/>
      <w:bookmarkStart w:id="9"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5"/>
      <w:bookmarkEnd w:id="6"/>
      <w:bookmarkEnd w:id="7"/>
      <w:bookmarkEnd w:id="8"/>
    </w:p>
    <w:p w14:paraId="63F81826">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1.项目编号：</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lang w:val="en-US" w:eastAsia="zh-CN"/>
        </w:rPr>
        <w:t>LTZCZX</w:t>
      </w:r>
      <w:r>
        <w:rPr>
          <w:rFonts w:hint="eastAsia" w:ascii="仿宋_GB2312" w:hAnsi="仿宋_GB2312" w:eastAsia="仿宋_GB2312" w:cs="仿宋_GB2312"/>
          <w:color w:val="auto"/>
          <w:sz w:val="32"/>
          <w:szCs w:val="32"/>
          <w:u w:val="single"/>
          <w:lang w:val="en-US" w:eastAsia="zh-CN"/>
        </w:rPr>
        <w:t xml:space="preserve">2024-公开询价--123   </w:t>
      </w:r>
    </w:p>
    <w:p w14:paraId="7E7CA19C">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2.项目名称：</w:t>
      </w:r>
      <w:bookmarkEnd w:id="9"/>
      <w:r>
        <w:rPr>
          <w:rFonts w:hint="eastAsia" w:ascii="仿宋_GB2312" w:hAnsi="仿宋_GB2312" w:eastAsia="仿宋_GB2312" w:cs="仿宋_GB2312"/>
          <w:color w:val="auto"/>
          <w:sz w:val="32"/>
          <w:szCs w:val="32"/>
          <w:u w:val="single"/>
          <w:lang w:val="en-US" w:eastAsia="zh-CN"/>
        </w:rPr>
        <w:t xml:space="preserve"> 江南宋城历史文化旅游区提升改造一期项目—灯光提升项目 。 </w:t>
      </w:r>
    </w:p>
    <w:p w14:paraId="2C010EC6">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520" w:lineRule="exact"/>
        <w:ind w:left="0" w:leftChars="0" w:right="0" w:firstLine="64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3.项目概况：</w:t>
      </w:r>
      <w:r>
        <w:rPr>
          <w:rFonts w:hint="eastAsia" w:ascii="仿宋_GB2312" w:hAnsi="仿宋_GB2312" w:eastAsia="仿宋_GB2312" w:cs="仿宋_GB2312"/>
          <w:color w:val="auto"/>
          <w:sz w:val="32"/>
          <w:szCs w:val="32"/>
          <w:u w:val="single"/>
          <w:lang w:val="en-US" w:eastAsia="zh-CN"/>
        </w:rPr>
        <w:t xml:space="preserve"> 为进一步提升整个江南宋城景区的夜间旅游吸引力和竞争力，拟在郁孤台公园、八境公园、龟角尾公园、城墙带等区域进行整体灯光设计提升，占地约468亩，城墙长度约3600米</w:t>
      </w:r>
      <w:r>
        <w:rPr>
          <w:rFonts w:hint="default" w:ascii="仿宋_GB2312" w:hAnsi="仿宋_GB2312" w:eastAsia="仿宋_GB2312" w:cs="仿宋_GB2312"/>
          <w:color w:val="auto"/>
          <w:sz w:val="32"/>
          <w:szCs w:val="32"/>
          <w:u w:val="single"/>
          <w:lang w:eastAsia="zh-CN"/>
        </w:rPr>
        <w:t>，</w:t>
      </w:r>
      <w:r>
        <w:rPr>
          <w:rFonts w:hint="default" w:ascii="仿宋_GB2312" w:hAnsi="Calibri" w:eastAsia="仿宋_GB2312" w:cs="仿宋_GB2312"/>
          <w:kern w:val="2"/>
          <w:sz w:val="32"/>
          <w:szCs w:val="32"/>
          <w:u w:val="single"/>
          <w:lang w:val="en-US" w:eastAsia="zh-CN" w:bidi="ar"/>
        </w:rPr>
        <w:t>投资金额暂定2500万元</w:t>
      </w:r>
      <w:r>
        <w:rPr>
          <w:rFonts w:hint="default" w:ascii="仿宋_GB2312" w:hAnsi="Calibri" w:eastAsia="仿宋_GB2312" w:cs="仿宋_GB2312"/>
          <w:kern w:val="2"/>
          <w:sz w:val="32"/>
          <w:szCs w:val="32"/>
          <w:lang w:eastAsia="zh-CN" w:bidi="ar"/>
        </w:rPr>
        <w:t>。</w:t>
      </w:r>
      <w:r>
        <w:rPr>
          <w:rFonts w:hint="eastAsia" w:ascii="仿宋_GB2312" w:hAnsi="仿宋_GB2312" w:eastAsia="仿宋_GB2312" w:cs="仿宋_GB2312"/>
          <w:color w:val="auto"/>
          <w:sz w:val="32"/>
          <w:szCs w:val="32"/>
          <w:lang w:val="en-US" w:eastAsia="zh-CN"/>
        </w:rPr>
        <w:t xml:space="preserve">      </w:t>
      </w:r>
    </w:p>
    <w:p w14:paraId="5F5508B3">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4.服务期限：</w:t>
      </w:r>
      <w:r>
        <w:rPr>
          <w:rFonts w:hint="eastAsia" w:ascii="仿宋_GB2312" w:hAnsi="仿宋_GB2312" w:eastAsia="仿宋_GB2312" w:cs="仿宋_GB2312"/>
          <w:color w:val="auto"/>
          <w:sz w:val="32"/>
          <w:szCs w:val="32"/>
          <w:u w:val="single"/>
          <w:lang w:val="en-US" w:eastAsia="zh-CN"/>
        </w:rPr>
        <w:t xml:space="preserve">自办理招标手续开始，到协助签订合同移交资料为止。 </w:t>
      </w:r>
    </w:p>
    <w:p w14:paraId="037DE469">
      <w:pPr>
        <w:pStyle w:val="221"/>
        <w:spacing w:beforeLines="0" w:afterLines="0" w:line="520" w:lineRule="exact"/>
        <w:ind w:left="0" w:leftChars="0" w:firstLine="640" w:firstLineChars="200"/>
        <w:rPr>
          <w:rFonts w:hint="eastAsia" w:ascii="仿宋_GB2312" w:hAnsi="仿宋_GB2312" w:eastAsia="仿宋_GB2312" w:cs="仿宋_GB2312"/>
          <w:color w:val="auto"/>
          <w:sz w:val="32"/>
          <w:szCs w:val="32"/>
        </w:rPr>
      </w:pPr>
      <w:bookmarkStart w:id="10" w:name="_Toc30557"/>
      <w:r>
        <w:rPr>
          <w:rFonts w:hint="eastAsia" w:ascii="仿宋_GB2312" w:hAnsi="仿宋_GB2312" w:eastAsia="仿宋_GB2312" w:cs="仿宋_GB2312"/>
          <w:color w:val="auto"/>
          <w:sz w:val="32"/>
          <w:szCs w:val="32"/>
        </w:rPr>
        <w:t>5.服务内容：从办理招标手续开始，到协助签订合同移交资料为止的全部招标过程，包括不限于：</w:t>
      </w:r>
    </w:p>
    <w:p w14:paraId="1531F349">
      <w:pPr>
        <w:pStyle w:val="221"/>
        <w:numPr>
          <w:ilvl w:val="0"/>
          <w:numId w:val="0"/>
        </w:numPr>
        <w:spacing w:beforeLines="0" w:afterLines="0" w:line="52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（1）编制招标公告、资格预审文件（如需）、招标文件；</w:t>
      </w:r>
    </w:p>
    <w:p w14:paraId="324A857D">
      <w:pPr>
        <w:pStyle w:val="221"/>
        <w:numPr>
          <w:ilvl w:val="0"/>
          <w:numId w:val="0"/>
        </w:numPr>
        <w:spacing w:beforeLines="0" w:afterLines="0" w:line="520" w:lineRule="exact"/>
        <w:ind w:left="0" w:leftChars="0" w:firstLine="640" w:firstLineChars="200"/>
        <w:rPr>
          <w:rFonts w:hint="eastAsia" w:ascii="仿宋" w:hAnsi="仿宋" w:eastAsia="仿宋" w:cs="仿宋"/>
          <w:color w:val="auto"/>
          <w:kern w:val="0"/>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b w:val="0"/>
          <w:bCs w:val="0"/>
          <w:color w:val="auto"/>
          <w:sz w:val="32"/>
          <w:szCs w:val="32"/>
        </w:rPr>
        <w:t>）组织专家对招标文件的全部内容（包括但不限于采购需求、评分标准、清单等）进行评审；</w:t>
      </w:r>
    </w:p>
    <w:p w14:paraId="5103C0BB">
      <w:pPr>
        <w:pStyle w:val="221"/>
        <w:spacing w:beforeLines="0" w:afterLines="0" w:line="52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（3）发布招标公告；</w:t>
      </w:r>
    </w:p>
    <w:p w14:paraId="38DC00F6">
      <w:pPr>
        <w:pStyle w:val="221"/>
        <w:spacing w:beforeLines="0" w:afterLines="0" w:line="52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（4）接受投标人报名，审查潜在投标人资格；</w:t>
      </w:r>
    </w:p>
    <w:p w14:paraId="54EA8859">
      <w:pPr>
        <w:pStyle w:val="221"/>
        <w:spacing w:beforeLines="0" w:afterLines="0" w:line="52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（5）组织招标和施工图纸答疑会；</w:t>
      </w:r>
    </w:p>
    <w:p w14:paraId="78870CB6">
      <w:pPr>
        <w:pStyle w:val="221"/>
        <w:spacing w:beforeLines="0" w:afterLines="0" w:line="52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（6）组织招标文件答疑；</w:t>
      </w:r>
    </w:p>
    <w:p w14:paraId="5712A428">
      <w:pPr>
        <w:pStyle w:val="221"/>
        <w:spacing w:beforeLines="0" w:afterLines="0" w:line="52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（7）组织开标、评标、定标；</w:t>
      </w:r>
    </w:p>
    <w:p w14:paraId="539D3D15">
      <w:pPr>
        <w:pStyle w:val="221"/>
        <w:spacing w:beforeLines="0" w:afterLines="0" w:line="52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（8）提供招标前期咨询；</w:t>
      </w:r>
    </w:p>
    <w:p w14:paraId="6617A924">
      <w:pPr>
        <w:pStyle w:val="221"/>
        <w:spacing w:beforeLines="0" w:afterLines="0" w:line="52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b w:val="0"/>
          <w:bCs/>
          <w:color w:val="auto"/>
          <w:sz w:val="32"/>
          <w:szCs w:val="32"/>
        </w:rPr>
        <w:t>如涉及设备、货物等招标询价工作，需代业主进行询价并出具询价结果报告</w:t>
      </w:r>
      <w:r>
        <w:rPr>
          <w:rFonts w:hint="eastAsia" w:ascii="仿宋_GB2312" w:hAnsi="仿宋_GB2312" w:eastAsia="仿宋_GB2312" w:cs="仿宋_GB2312"/>
          <w:bCs/>
          <w:color w:val="auto"/>
          <w:sz w:val="32"/>
          <w:szCs w:val="32"/>
        </w:rPr>
        <w:t>；</w:t>
      </w:r>
    </w:p>
    <w:p w14:paraId="6F035339">
      <w:pPr>
        <w:pStyle w:val="221"/>
        <w:spacing w:beforeLines="0" w:afterLines="0" w:line="52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（10）编写综合招标评标报告和汇总招投标有关资料，政府相关部门盖章并完善手续；</w:t>
      </w:r>
    </w:p>
    <w:p w14:paraId="6BE9EB7D">
      <w:pPr>
        <w:pStyle w:val="221"/>
        <w:spacing w:beforeLines="0" w:afterLines="0" w:line="52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（11）签发中标通知书；</w:t>
      </w:r>
    </w:p>
    <w:p w14:paraId="7D3F6F55">
      <w:pPr>
        <w:pStyle w:val="221"/>
        <w:spacing w:beforeLines="0" w:afterLines="0" w:line="52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（12）向建设主管部门移交招标档案并备案；</w:t>
      </w:r>
    </w:p>
    <w:p w14:paraId="11E10023">
      <w:pPr>
        <w:pStyle w:val="221"/>
        <w:spacing w:beforeLines="0" w:afterLines="0" w:line="52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（13）协助招标人与中标人签订合同并完成备案等。</w:t>
      </w:r>
      <w:bookmarkEnd w:id="10"/>
    </w:p>
    <w:p w14:paraId="7DC23434">
      <w:pPr>
        <w:snapToGrid w:val="0"/>
        <w:spacing w:beforeLines="0" w:afterLines="0" w:line="580" w:lineRule="exact"/>
        <w:ind w:firstLine="640" w:firstLineChars="200"/>
        <w:rPr>
          <w:rFonts w:hint="eastAsia" w:ascii="仿宋_GB2312" w:hAnsi="仿宋_GB2312" w:eastAsia="仿宋_GB2312" w:cs="仿宋_GB2312"/>
          <w:color w:val="auto"/>
          <w:kern w:val="0"/>
          <w:sz w:val="32"/>
          <w:szCs w:val="32"/>
        </w:rPr>
      </w:pPr>
      <w:bookmarkStart w:id="11" w:name="_Toc28481"/>
      <w:r>
        <w:rPr>
          <w:rFonts w:hint="eastAsia" w:ascii="仿宋_GB2312" w:hAnsi="仿宋_GB2312" w:eastAsia="仿宋_GB2312" w:cs="仿宋_GB2312"/>
          <w:color w:val="auto"/>
          <w:sz w:val="32"/>
          <w:szCs w:val="32"/>
        </w:rPr>
        <w:t>6.最高含税限价：</w:t>
      </w:r>
      <w:r>
        <w:rPr>
          <w:rFonts w:hint="eastAsia" w:ascii="仿宋_GB2312" w:hAnsi="仿宋_GB2312" w:eastAsia="仿宋_GB2312" w:cs="仿宋_GB2312"/>
          <w:color w:val="FF0000"/>
          <w:sz w:val="32"/>
          <w:szCs w:val="32"/>
        </w:rPr>
        <w:t>以</w:t>
      </w:r>
      <w:r>
        <w:rPr>
          <w:rFonts w:hint="eastAsia" w:ascii="仿宋_GB2312" w:hAnsi="仿宋_GB2312" w:eastAsia="仿宋_GB2312" w:cs="仿宋_GB2312"/>
          <w:color w:val="FF0000"/>
          <w:kern w:val="0"/>
          <w:sz w:val="32"/>
          <w:szCs w:val="32"/>
        </w:rPr>
        <w:t>所招标项目的中标金额为计算基数，按《国家发展改革委关于降低部分建设项目收费标准规范收费行为等有关问题的通知》（发改价格〔2011〕534号）文件分档累进计算，再执行赣市财基字〔2013〕7号文件折扣比例分段累计计取值为最高含税限价。</w:t>
      </w:r>
      <w:r>
        <w:rPr>
          <w:rFonts w:hint="eastAsia" w:ascii="仿宋_GB2312" w:hAnsi="仿宋_GB2312" w:eastAsia="仿宋_GB2312" w:cs="仿宋_GB2312"/>
          <w:color w:val="auto"/>
          <w:kern w:val="0"/>
          <w:sz w:val="32"/>
          <w:szCs w:val="32"/>
        </w:rPr>
        <w:t>该最高含税限价包括但不限于完成上述全部服务内容（如组织专家对招标文件的全部内容进行评审、开标评审、代业主进行询价并出具询价报告等）所需人员费用、物料、设备、场所、</w:t>
      </w:r>
      <w:r>
        <w:rPr>
          <w:rFonts w:hint="eastAsia" w:ascii="仿宋_GB2312" w:hAnsi="仿宋_GB2312" w:eastAsia="仿宋_GB2312" w:cs="仿宋_GB2312"/>
          <w:b w:val="0"/>
          <w:bCs/>
          <w:color w:val="auto"/>
          <w:kern w:val="0"/>
          <w:sz w:val="32"/>
          <w:szCs w:val="32"/>
        </w:rPr>
        <w:t>专家评审（招标文件评审、开标评审）</w:t>
      </w:r>
      <w:r>
        <w:rPr>
          <w:rFonts w:hint="eastAsia" w:ascii="仿宋_GB2312" w:hAnsi="仿宋_GB2312" w:eastAsia="仿宋_GB2312" w:cs="仿宋_GB2312"/>
          <w:color w:val="auto"/>
          <w:kern w:val="0"/>
          <w:sz w:val="32"/>
          <w:szCs w:val="32"/>
        </w:rPr>
        <w:t>、管理费用、利润、税金等一切费用。供应商的含税报价超出最高含税限价将判定为无效响应，各供应商应认真考虑自身报价的风险以及中选后自身的经济承受能力，慎重合理确定利润部分的费用，合理确定自身的报价折扣率，不得恶性竞争。</w:t>
      </w:r>
    </w:p>
    <w:bookmarkEnd w:id="11"/>
    <w:p w14:paraId="3446543D">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2" w:name="_Toc31181"/>
      <w:bookmarkStart w:id="13" w:name="_Toc3240"/>
      <w:bookmarkStart w:id="14" w:name="_Toc22929"/>
      <w:bookmarkStart w:id="15" w:name="_Toc11230"/>
      <w:r>
        <w:rPr>
          <w:rFonts w:hint="eastAsia" w:ascii="楷体" w:hAnsi="楷体" w:eastAsia="楷体" w:cs="楷体"/>
          <w:b/>
          <w:bCs/>
          <w:color w:val="auto"/>
          <w:sz w:val="32"/>
          <w:szCs w:val="32"/>
          <w:lang w:val="en-US" w:eastAsia="zh-CN"/>
        </w:rPr>
        <w:t>供应商资格条件：</w:t>
      </w:r>
      <w:bookmarkEnd w:id="12"/>
      <w:bookmarkEnd w:id="13"/>
      <w:bookmarkEnd w:id="14"/>
    </w:p>
    <w:p w14:paraId="1835BE73">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14:paraId="1720C707">
      <w:pPr>
        <w:pStyle w:val="41"/>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bCs w:val="0"/>
          <w:color w:val="auto"/>
          <w:kern w:val="0"/>
          <w:sz w:val="32"/>
          <w:szCs w:val="32"/>
          <w:lang w:val="en-US" w:eastAsia="zh-CN"/>
        </w:rPr>
        <w:t>1.具有独立承担民事责任的能力；</w:t>
      </w:r>
    </w:p>
    <w:p w14:paraId="1F5E638E">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2.具有良好的商业信誉和健全的财务会计制度；</w:t>
      </w:r>
    </w:p>
    <w:p w14:paraId="71CAD985">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3.具有履行合同所必需的设备和专业技术能力；</w:t>
      </w:r>
    </w:p>
    <w:p w14:paraId="120DF49F">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4.有依法缴纳税收和社会保障资金的良好记录；</w:t>
      </w:r>
    </w:p>
    <w:p w14:paraId="19DD6402">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5.参加询价采购活动前三年内，在经营活动中没有重大违法记录。</w:t>
      </w:r>
    </w:p>
    <w:p w14:paraId="24270408">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14:paraId="682B68E7">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7F2EC3D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14:paraId="092292CF">
      <w:pPr>
        <w:widowControl/>
        <w:numPr>
          <w:ilvl w:val="0"/>
          <w:numId w:val="0"/>
          <w:ins w:id="0" w:author="zc" w:date="2024-09-27T11:52:43Z"/>
        </w:numPr>
        <w:spacing w:line="520" w:lineRule="exact"/>
        <w:ind w:firstLine="640" w:firstLineChars="200"/>
        <w:jc w:val="left"/>
        <w:rPr>
          <w:rFonts w:hint="eastAsia"/>
        </w:rPr>
      </w:pPr>
      <w:r>
        <w:rPr>
          <w:rFonts w:hint="eastAsia" w:ascii="仿宋_GB2312" w:hAnsi="仿宋_GB2312" w:eastAsia="仿宋_GB2312" w:cs="仿宋_GB2312"/>
          <w:color w:val="auto"/>
          <w:kern w:val="0"/>
          <w:sz w:val="32"/>
          <w:szCs w:val="32"/>
          <w:u w:val="none"/>
          <w:lang w:val="en-US" w:eastAsia="zh-CN" w:bidi="ar"/>
        </w:rPr>
        <w:t>3.供应商的分支机构不得参加本次采购，特殊行业(仅限于银行、保险、石油石化、电力、电信行业)供应商允许其分支机构参加本次采购。</w:t>
      </w:r>
    </w:p>
    <w:p w14:paraId="371DBF4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4.本项目不接受联合体响应。</w:t>
      </w:r>
    </w:p>
    <w:p w14:paraId="50C259D8">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6" w:name="_Toc26361"/>
      <w:bookmarkStart w:id="17" w:name="_Toc30076"/>
      <w:bookmarkStart w:id="18" w:name="_Toc6352"/>
      <w:r>
        <w:rPr>
          <w:rFonts w:hint="eastAsia" w:ascii="楷体" w:hAnsi="楷体" w:eastAsia="楷体" w:cs="楷体"/>
          <w:b/>
          <w:bCs/>
          <w:color w:val="auto"/>
          <w:sz w:val="32"/>
          <w:szCs w:val="32"/>
          <w:lang w:val="en-US" w:eastAsia="zh-CN"/>
        </w:rPr>
        <w:t>拟派人员资格要求：</w:t>
      </w:r>
      <w:bookmarkEnd w:id="16"/>
      <w:bookmarkEnd w:id="17"/>
      <w:bookmarkEnd w:id="18"/>
    </w:p>
    <w:p w14:paraId="5FDD643D">
      <w:pPr>
        <w:pStyle w:val="41"/>
        <w:keepNext w:val="0"/>
        <w:keepLines w:val="0"/>
        <w:pageBreakBefore w:val="0"/>
        <w:widowControl w:val="0"/>
        <w:numPr>
          <w:ilvl w:val="-1"/>
          <w:numId w:val="0"/>
        </w:numPr>
        <w:kinsoku/>
        <w:wordWrap/>
        <w:overflowPunct/>
        <w:topLinePunct w:val="0"/>
        <w:autoSpaceDE/>
        <w:autoSpaceDN/>
        <w:bidi w:val="0"/>
        <w:adjustRightInd/>
        <w:snapToGrid/>
        <w:spacing w:after="0" w:line="520" w:lineRule="exact"/>
        <w:ind w:left="420" w:leftChars="200" w:firstLine="0" w:firstLineChars="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                  </w:t>
      </w:r>
    </w:p>
    <w:p w14:paraId="2BC25A9B">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9" w:name="_Toc17066"/>
      <w:bookmarkStart w:id="20" w:name="_Toc12136"/>
      <w:bookmarkStart w:id="21" w:name="_Toc28288"/>
      <w:bookmarkStart w:id="22" w:name="_Toc26856"/>
      <w:bookmarkStart w:id="23" w:name="_Toc14265"/>
      <w:r>
        <w:rPr>
          <w:rFonts w:hint="eastAsia" w:ascii="楷体" w:hAnsi="楷体" w:eastAsia="楷体" w:cs="楷体"/>
          <w:b/>
          <w:bCs/>
          <w:color w:val="auto"/>
          <w:sz w:val="32"/>
          <w:szCs w:val="32"/>
          <w:lang w:val="en-US" w:eastAsia="zh-CN"/>
        </w:rPr>
        <w:t>询价文件获取：</w:t>
      </w:r>
      <w:bookmarkEnd w:id="19"/>
      <w:bookmarkEnd w:id="20"/>
      <w:bookmarkEnd w:id="21"/>
      <w:bookmarkEnd w:id="22"/>
    </w:p>
    <w:p w14:paraId="29BFD5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Calibri" w:eastAsia="仿宋_GB2312" w:cs="仿宋_GB2312"/>
          <w:kern w:val="2"/>
          <w:sz w:val="32"/>
          <w:szCs w:val="32"/>
          <w:lang w:val="en-US" w:eastAsia="zh-CN" w:bidi="ar"/>
        </w:rPr>
        <w:t>公告页自行下载附件。</w:t>
      </w:r>
    </w:p>
    <w:p w14:paraId="10BBFF7C">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4" w:name="_Toc1839"/>
      <w:bookmarkStart w:id="25" w:name="_Toc1062"/>
      <w:bookmarkStart w:id="26" w:name="_Toc2772"/>
      <w:r>
        <w:rPr>
          <w:rFonts w:hint="eastAsia" w:ascii="楷体" w:hAnsi="楷体" w:eastAsia="楷体" w:cs="楷体"/>
          <w:b/>
          <w:bCs/>
          <w:color w:val="auto"/>
          <w:sz w:val="32"/>
          <w:szCs w:val="32"/>
          <w:lang w:val="en-US" w:eastAsia="zh-CN"/>
        </w:rPr>
        <w:t>响应文件：</w:t>
      </w:r>
      <w:bookmarkEnd w:id="23"/>
      <w:bookmarkEnd w:id="24"/>
      <w:bookmarkEnd w:id="25"/>
      <w:bookmarkEnd w:id="26"/>
    </w:p>
    <w:p w14:paraId="43E10B64">
      <w:pPr>
        <w:keepNext w:val="0"/>
        <w:keepLines w:val="0"/>
        <w:widowControl w:val="0"/>
        <w:suppressLineNumbers w:val="0"/>
        <w:autoSpaceDE w:val="0"/>
        <w:autoSpaceDN/>
        <w:spacing w:before="0" w:beforeAutospacing="0" w:after="0" w:afterAutospacing="0" w:line="520" w:lineRule="exact"/>
        <w:ind w:left="0" w:leftChars="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供应商应根据询价文件的要求编制响应文件，提交的纸质响应文件一式贰份，即正本一份、副本一份，装订成册，密封提交至响应文件递交地点，密封</w:t>
      </w:r>
      <w:r>
        <w:rPr>
          <w:rFonts w:hint="default" w:ascii="仿宋_GB2312" w:hAnsi="Calibri" w:eastAsia="仿宋_GB2312" w:cs="仿宋_GB2312"/>
          <w:kern w:val="0"/>
          <w:sz w:val="32"/>
          <w:szCs w:val="32"/>
          <w:lang w:val="en-US" w:eastAsia="zh-CN" w:bidi="ar"/>
        </w:rPr>
        <w:t>封面应注明项目名称、供应商单位名称、响应日期</w:t>
      </w:r>
      <w:r>
        <w:rPr>
          <w:rFonts w:hint="default" w:ascii="仿宋_GB2312" w:hAnsi="Calibri" w:eastAsia="仿宋_GB2312" w:cs="仿宋_GB2312"/>
          <w:kern w:val="2"/>
          <w:sz w:val="32"/>
          <w:szCs w:val="32"/>
          <w:lang w:val="en-US" w:eastAsia="zh-CN" w:bidi="ar"/>
        </w:rPr>
        <w:t>。</w:t>
      </w:r>
    </w:p>
    <w:bookmarkEnd w:id="15"/>
    <w:p w14:paraId="1E13BA30">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7" w:name="_Toc6684"/>
      <w:bookmarkStart w:id="28" w:name="_Toc9960"/>
      <w:bookmarkStart w:id="29" w:name="_Toc5175"/>
      <w:r>
        <w:rPr>
          <w:rFonts w:hint="eastAsia" w:ascii="楷体" w:hAnsi="楷体" w:eastAsia="楷体" w:cs="楷体"/>
          <w:b/>
          <w:bCs/>
          <w:color w:val="auto"/>
          <w:sz w:val="32"/>
          <w:szCs w:val="32"/>
          <w:lang w:val="en-US" w:eastAsia="zh-CN"/>
        </w:rPr>
        <w:t>现场踏勘：</w:t>
      </w:r>
      <w:bookmarkEnd w:id="27"/>
      <w:bookmarkEnd w:id="28"/>
      <w:bookmarkEnd w:id="29"/>
    </w:p>
    <w:p w14:paraId="26FDC5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30" w:name="_Toc25551"/>
      <w:r>
        <w:rPr>
          <w:rFonts w:hint="eastAsia" w:ascii="仿宋_GB2312" w:hAnsi="仿宋_GB2312" w:eastAsia="仿宋_GB2312" w:cs="仿宋_GB2312"/>
          <w:color w:val="auto"/>
          <w:sz w:val="32"/>
          <w:szCs w:val="32"/>
          <w:u w:val="single"/>
          <w:lang w:val="en-US" w:eastAsia="zh-CN"/>
        </w:rPr>
        <w:t xml:space="preserve">       /    </w:t>
      </w:r>
      <w:bookmarkEnd w:id="30"/>
    </w:p>
    <w:p w14:paraId="128FA452">
      <w:pPr>
        <w:keepNext w:val="0"/>
        <w:keepLines w:val="0"/>
        <w:pageBreakBefore w:val="0"/>
        <w:numPr>
          <w:ilvl w:val="-1"/>
          <w:numId w:val="0"/>
        </w:numPr>
        <w:kinsoku/>
        <w:wordWrap/>
        <w:overflowPunct/>
        <w:topLinePunct w:val="0"/>
        <w:bidi w:val="0"/>
        <w:spacing w:line="520" w:lineRule="exact"/>
        <w:ind w:left="420" w:leftChars="200" w:firstLine="0" w:firstLineChars="0"/>
        <w:jc w:val="left"/>
        <w:outlineLvl w:val="1"/>
        <w:rPr>
          <w:rFonts w:hint="eastAsia" w:ascii="楷体" w:hAnsi="楷体" w:eastAsia="楷体" w:cs="楷体"/>
          <w:b/>
          <w:bCs/>
          <w:color w:val="auto"/>
          <w:sz w:val="32"/>
          <w:szCs w:val="32"/>
          <w:lang w:val="en-US" w:eastAsia="zh-CN"/>
        </w:rPr>
      </w:pPr>
      <w:bookmarkStart w:id="31" w:name="_Toc736"/>
      <w:bookmarkStart w:id="32" w:name="_Toc25886"/>
      <w:bookmarkStart w:id="33" w:name="_Toc26105"/>
      <w:r>
        <w:rPr>
          <w:rFonts w:hint="default" w:ascii="楷体" w:hAnsi="楷体" w:eastAsia="楷体" w:cs="楷体"/>
          <w:b/>
          <w:bCs/>
          <w:color w:val="auto"/>
          <w:sz w:val="32"/>
          <w:szCs w:val="32"/>
          <w:lang w:eastAsia="zh-CN"/>
        </w:rPr>
        <w:t>七、</w:t>
      </w:r>
      <w:r>
        <w:rPr>
          <w:rFonts w:hint="eastAsia" w:ascii="楷体" w:hAnsi="楷体" w:eastAsia="楷体" w:cs="楷体"/>
          <w:b/>
          <w:bCs/>
          <w:color w:val="auto"/>
          <w:sz w:val="32"/>
          <w:szCs w:val="32"/>
          <w:lang w:val="en-US" w:eastAsia="zh-CN"/>
        </w:rPr>
        <w:t>询价文件澄清或答疑：</w:t>
      </w:r>
      <w:bookmarkEnd w:id="31"/>
      <w:bookmarkEnd w:id="32"/>
      <w:bookmarkEnd w:id="33"/>
    </w:p>
    <w:p w14:paraId="096ED2AF">
      <w:pPr>
        <w:pStyle w:val="37"/>
        <w:keepNext w:val="0"/>
        <w:keepLines w:val="0"/>
        <w:widowControl w:val="0"/>
        <w:suppressLineNumbers w:val="0"/>
        <w:autoSpaceDE w:val="0"/>
        <w:autoSpaceDN/>
        <w:spacing w:before="0" w:beforeAutospacing="1" w:after="0" w:afterAutospacing="0" w:line="500" w:lineRule="exact"/>
        <w:ind w:left="0" w:leftChars="0" w:right="0" w:firstLine="640" w:firstLineChars="200"/>
        <w:jc w:val="both"/>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1.供应商以书面形式对询价文件编制过程中存在的问题进行提问，将盖章扫描件发往采购人邮箱：</w:t>
      </w:r>
      <w:r>
        <w:rPr>
          <w:rFonts w:hint="default" w:ascii="仿宋_GB2312" w:hAnsi="Times New Roman" w:eastAsia="仿宋_GB2312" w:cs="仿宋_GB2312"/>
          <w:kern w:val="0"/>
          <w:sz w:val="32"/>
          <w:szCs w:val="32"/>
          <w:u w:val="single"/>
          <w:lang w:val="en-US" w:eastAsia="zh-CN" w:bidi="ar"/>
        </w:rPr>
        <w:t>405688188@qq.com</w:t>
      </w:r>
      <w:r>
        <w:rPr>
          <w:rFonts w:hint="default" w:ascii="仿宋_GB2312" w:hAnsi="Times New Roman" w:eastAsia="仿宋_GB2312" w:cs="仿宋_GB2312"/>
          <w:kern w:val="0"/>
          <w:sz w:val="32"/>
          <w:szCs w:val="32"/>
          <w:lang w:val="en-US" w:eastAsia="zh-CN" w:bidi="ar"/>
        </w:rPr>
        <w:t>。</w:t>
      </w:r>
    </w:p>
    <w:p w14:paraId="758B6D83">
      <w:pPr>
        <w:pStyle w:val="37"/>
        <w:keepNext w:val="0"/>
        <w:keepLines w:val="0"/>
        <w:widowControl w:val="0"/>
        <w:suppressLineNumbers w:val="0"/>
        <w:autoSpaceDE w:val="0"/>
        <w:autoSpaceDN/>
        <w:spacing w:before="0" w:beforeAutospacing="1" w:after="0" w:afterAutospacing="0" w:line="500" w:lineRule="exact"/>
        <w:ind w:left="0" w:leftChars="0" w:right="0" w:firstLine="640" w:firstLineChars="200"/>
        <w:jc w:val="both"/>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bidi="ar"/>
        </w:rPr>
        <w:t>2.采购人将对供应商提出的疑问解答汇总形成书面文件通知所有获取询价文件的供应商。</w:t>
      </w:r>
    </w:p>
    <w:p w14:paraId="2681F993">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4" w:name="_Toc10769"/>
      <w:bookmarkStart w:id="35" w:name="_Toc14039"/>
      <w:bookmarkStart w:id="36" w:name="_Toc9026"/>
      <w:bookmarkStart w:id="37" w:name="_Toc31627"/>
      <w:r>
        <w:rPr>
          <w:rFonts w:hint="eastAsia" w:ascii="楷体" w:hAnsi="楷体" w:eastAsia="楷体" w:cs="楷体"/>
          <w:b/>
          <w:bCs/>
          <w:color w:val="auto"/>
          <w:sz w:val="32"/>
          <w:szCs w:val="32"/>
          <w:lang w:val="en-US" w:eastAsia="zh-CN"/>
        </w:rPr>
        <w:t>响应时间、地点：</w:t>
      </w:r>
      <w:bookmarkEnd w:id="34"/>
      <w:bookmarkEnd w:id="35"/>
      <w:bookmarkEnd w:id="36"/>
      <w:bookmarkEnd w:id="37"/>
    </w:p>
    <w:p w14:paraId="61F8CA5D">
      <w:pPr>
        <w:keepNext w:val="0"/>
        <w:keepLines w:val="0"/>
        <w:widowControl w:val="0"/>
        <w:numPr>
          <w:ilvl w:val="-1"/>
          <w:numId w:val="0"/>
        </w:numPr>
        <w:suppressLineNumbers w:val="0"/>
        <w:autoSpaceDE w:val="0"/>
        <w:autoSpaceDN/>
        <w:snapToGrid w:val="0"/>
        <w:spacing w:before="0" w:beforeAutospacing="0" w:after="0" w:afterAutospacing="0" w:line="500" w:lineRule="exact"/>
        <w:ind w:left="420" w:leftChars="200" w:right="0" w:firstLine="0" w:firstLineChars="0"/>
        <w:jc w:val="left"/>
        <w:rPr>
          <w:rFonts w:hint="default" w:ascii="仿宋_GB2312" w:hAnsi="仿宋_GB2312" w:eastAsia="仿宋_GB2312" w:cs="仿宋_GB2312"/>
          <w:color w:val="auto"/>
          <w:sz w:val="32"/>
          <w:szCs w:val="32"/>
          <w:u w:val="none"/>
        </w:rPr>
      </w:pPr>
      <w:r>
        <w:rPr>
          <w:rFonts w:hint="default"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响应截止时间和</w:t>
      </w:r>
      <w:r>
        <w:rPr>
          <w:rFonts w:hint="eastAsia" w:ascii="仿宋_GB2312" w:hAnsi="仿宋_GB2312" w:eastAsia="仿宋_GB2312" w:cs="仿宋_GB2312"/>
          <w:color w:val="auto"/>
          <w:sz w:val="32"/>
          <w:szCs w:val="32"/>
          <w:lang w:val="en-US" w:eastAsia="zh-CN"/>
        </w:rPr>
        <w:t>开启</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FF0000"/>
          <w:sz w:val="32"/>
          <w:szCs w:val="32"/>
          <w:u w:val="single"/>
          <w:lang w:val="en-US" w:eastAsia="zh-CN"/>
        </w:rPr>
        <w:t>2024</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b w:val="0"/>
          <w:bCs w:val="0"/>
          <w:color w:val="FF0000"/>
          <w:sz w:val="32"/>
          <w:szCs w:val="32"/>
          <w:u w:val="none"/>
        </w:rPr>
        <w:t>年</w:t>
      </w:r>
      <w:r>
        <w:rPr>
          <w:rFonts w:hint="eastAsia" w:ascii="仿宋_GB2312" w:hAnsi="仿宋_GB2312" w:eastAsia="仿宋_GB2312" w:cs="仿宋_GB2312"/>
          <w:b w:val="0"/>
          <w:bCs w:val="0"/>
          <w:color w:val="FF0000"/>
          <w:sz w:val="32"/>
          <w:szCs w:val="32"/>
          <w:u w:val="single"/>
          <w:lang w:val="en-US" w:eastAsia="zh-CN"/>
        </w:rPr>
        <w:t xml:space="preserve"> </w:t>
      </w:r>
      <w:r>
        <w:rPr>
          <w:rFonts w:hint="eastAsia" w:ascii="仿宋_GB2312" w:hAnsi="仿宋_GB2312" w:eastAsia="仿宋_GB2312" w:cs="仿宋_GB2312"/>
          <w:b w:val="0"/>
          <w:bCs w:val="0"/>
          <w:color w:val="FF0000"/>
          <w:sz w:val="32"/>
          <w:szCs w:val="32"/>
          <w:u w:val="single"/>
          <w:lang w:val="en-US" w:eastAsia="zh-CN"/>
        </w:rPr>
        <w:t>11</w:t>
      </w:r>
      <w:r>
        <w:rPr>
          <w:rFonts w:hint="eastAsia" w:ascii="仿宋_GB2312" w:hAnsi="仿宋_GB2312" w:eastAsia="仿宋_GB2312" w:cs="仿宋_GB2312"/>
          <w:b w:val="0"/>
          <w:bCs w:val="0"/>
          <w:color w:val="FF0000"/>
          <w:sz w:val="32"/>
          <w:szCs w:val="32"/>
          <w:u w:val="single"/>
          <w:lang w:val="en-US" w:eastAsia="zh-CN"/>
        </w:rPr>
        <w:t xml:space="preserve"> </w:t>
      </w:r>
      <w:r>
        <w:rPr>
          <w:rFonts w:hint="eastAsia" w:ascii="仿宋_GB2312" w:hAnsi="仿宋_GB2312" w:eastAsia="仿宋_GB2312" w:cs="仿宋_GB2312"/>
          <w:b w:val="0"/>
          <w:bCs w:val="0"/>
          <w:color w:val="FF0000"/>
          <w:sz w:val="32"/>
          <w:szCs w:val="32"/>
          <w:u w:val="none"/>
        </w:rPr>
        <w:t>月</w:t>
      </w:r>
      <w:r>
        <w:rPr>
          <w:rFonts w:hint="eastAsia" w:ascii="仿宋_GB2312" w:hAnsi="仿宋_GB2312" w:eastAsia="仿宋_GB2312" w:cs="仿宋_GB2312"/>
          <w:b w:val="0"/>
          <w:bCs w:val="0"/>
          <w:color w:val="FF0000"/>
          <w:sz w:val="32"/>
          <w:szCs w:val="32"/>
          <w:u w:val="single"/>
          <w:lang w:val="en-US" w:eastAsia="zh-CN"/>
        </w:rPr>
        <w:t xml:space="preserve"> </w:t>
      </w:r>
      <w:r>
        <w:rPr>
          <w:rFonts w:hint="eastAsia" w:ascii="仿宋_GB2312" w:hAnsi="仿宋_GB2312" w:eastAsia="仿宋_GB2312" w:cs="仿宋_GB2312"/>
          <w:b w:val="0"/>
          <w:bCs w:val="0"/>
          <w:color w:val="FF0000"/>
          <w:sz w:val="32"/>
          <w:szCs w:val="32"/>
          <w:u w:val="single"/>
          <w:lang w:val="en-US" w:eastAsia="zh-CN"/>
        </w:rPr>
        <w:t>15</w:t>
      </w:r>
      <w:r>
        <w:rPr>
          <w:rFonts w:hint="eastAsia" w:ascii="仿宋_GB2312" w:hAnsi="仿宋_GB2312" w:eastAsia="仿宋_GB2312" w:cs="仿宋_GB2312"/>
          <w:b w:val="0"/>
          <w:bCs w:val="0"/>
          <w:color w:val="FF0000"/>
          <w:sz w:val="32"/>
          <w:szCs w:val="32"/>
          <w:u w:val="single"/>
          <w:lang w:val="en-US" w:eastAsia="zh-CN"/>
        </w:rPr>
        <w:t xml:space="preserve"> </w:t>
      </w:r>
      <w:r>
        <w:rPr>
          <w:rFonts w:hint="eastAsia" w:ascii="仿宋_GB2312" w:hAnsi="仿宋_GB2312" w:eastAsia="仿宋_GB2312" w:cs="仿宋_GB2312"/>
          <w:b w:val="0"/>
          <w:bCs w:val="0"/>
          <w:color w:val="FF0000"/>
          <w:sz w:val="32"/>
          <w:szCs w:val="32"/>
          <w:u w:val="none"/>
        </w:rPr>
        <w:t>日</w:t>
      </w:r>
      <w:r>
        <w:rPr>
          <w:rFonts w:hint="eastAsia" w:ascii="仿宋_GB2312" w:hAnsi="仿宋_GB2312" w:eastAsia="仿宋_GB2312" w:cs="仿宋_GB2312"/>
          <w:b w:val="0"/>
          <w:bCs w:val="0"/>
          <w:color w:val="FF0000"/>
          <w:sz w:val="32"/>
          <w:szCs w:val="32"/>
          <w:u w:val="single"/>
          <w:lang w:val="en-US" w:eastAsia="zh-CN"/>
        </w:rPr>
        <w:t xml:space="preserve"> </w:t>
      </w:r>
      <w:r>
        <w:rPr>
          <w:rFonts w:hint="eastAsia" w:ascii="仿宋_GB2312" w:hAnsi="仿宋_GB2312" w:eastAsia="仿宋_GB2312" w:cs="仿宋_GB2312"/>
          <w:b w:val="0"/>
          <w:bCs w:val="0"/>
          <w:color w:val="FF0000"/>
          <w:sz w:val="32"/>
          <w:szCs w:val="32"/>
          <w:u w:val="single"/>
          <w:lang w:val="en-US" w:eastAsia="zh-CN"/>
        </w:rPr>
        <w:t>1</w:t>
      </w:r>
      <w:r>
        <w:rPr>
          <w:rFonts w:hint="default" w:ascii="仿宋_GB2312" w:hAnsi="仿宋_GB2312" w:eastAsia="仿宋_GB2312" w:cs="仿宋_GB2312"/>
          <w:b w:val="0"/>
          <w:bCs w:val="0"/>
          <w:color w:val="FF0000"/>
          <w:sz w:val="32"/>
          <w:szCs w:val="32"/>
          <w:u w:val="single"/>
          <w:lang w:eastAsia="zh-CN"/>
        </w:rPr>
        <w:t>0</w:t>
      </w:r>
      <w:r>
        <w:rPr>
          <w:rFonts w:hint="eastAsia" w:ascii="仿宋_GB2312" w:hAnsi="仿宋_GB2312" w:eastAsia="仿宋_GB2312" w:cs="仿宋_GB2312"/>
          <w:b w:val="0"/>
          <w:bCs w:val="0"/>
          <w:color w:val="FF0000"/>
          <w:sz w:val="32"/>
          <w:szCs w:val="32"/>
          <w:u w:val="single"/>
          <w:lang w:val="en-US" w:eastAsia="zh-CN"/>
        </w:rPr>
        <w:t xml:space="preserve">  </w:t>
      </w:r>
      <w:r>
        <w:rPr>
          <w:rFonts w:hint="eastAsia" w:ascii="仿宋_GB2312" w:hAnsi="仿宋_GB2312" w:eastAsia="仿宋_GB2312" w:cs="仿宋_GB2312"/>
          <w:b w:val="0"/>
          <w:bCs w:val="0"/>
          <w:color w:val="FF0000"/>
          <w:sz w:val="32"/>
          <w:szCs w:val="32"/>
          <w:u w:val="none"/>
        </w:rPr>
        <w:t>时</w:t>
      </w:r>
      <w:r>
        <w:rPr>
          <w:rFonts w:hint="eastAsia" w:ascii="仿宋_GB2312" w:hAnsi="仿宋_GB2312" w:eastAsia="仿宋_GB2312" w:cs="仿宋_GB2312"/>
          <w:color w:val="auto"/>
          <w:sz w:val="32"/>
          <w:szCs w:val="32"/>
          <w:u w:val="none"/>
        </w:rPr>
        <w:t>（北京时间）</w:t>
      </w:r>
      <w:r>
        <w:rPr>
          <w:rFonts w:hint="default" w:ascii="仿宋_GB2312" w:hAnsi="仿宋_GB2312" w:eastAsia="仿宋_GB2312" w:cs="仿宋_GB2312"/>
          <w:color w:val="auto"/>
          <w:sz w:val="32"/>
          <w:szCs w:val="32"/>
          <w:u w:val="none"/>
        </w:rPr>
        <w:t>。</w:t>
      </w:r>
    </w:p>
    <w:p w14:paraId="1355FF3F">
      <w:pPr>
        <w:keepNext w:val="0"/>
        <w:keepLines w:val="0"/>
        <w:widowControl w:val="0"/>
        <w:numPr>
          <w:ilvl w:val="-1"/>
          <w:numId w:val="0"/>
        </w:numPr>
        <w:suppressLineNumbers w:val="0"/>
        <w:autoSpaceDE w:val="0"/>
        <w:autoSpaceDN/>
        <w:snapToGrid w:val="0"/>
        <w:spacing w:before="0" w:beforeAutospacing="0" w:after="0" w:afterAutospacing="0" w:line="500" w:lineRule="exact"/>
        <w:ind w:left="0" w:leftChars="0" w:right="0" w:firstLine="0" w:firstLineChars="0"/>
        <w:jc w:val="left"/>
        <w:rPr>
          <w:rFonts w:hint="default" w:ascii="仿宋_GB2312" w:eastAsia="仿宋_GB2312" w:cs="仿宋_GB2312"/>
          <w:b w:val="0"/>
          <w:bCs w:val="0"/>
          <w:kern w:val="2"/>
          <w:sz w:val="32"/>
          <w:szCs w:val="32"/>
        </w:rPr>
      </w:pPr>
      <w:r>
        <w:rPr>
          <w:rFonts w:hint="default" w:ascii="仿宋_GB2312" w:hAnsi="仿宋_GB2312" w:eastAsia="仿宋_GB2312" w:cs="仿宋_GB2312"/>
          <w:color w:val="auto"/>
          <w:sz w:val="32"/>
          <w:szCs w:val="32"/>
          <w:u w:val="none"/>
          <w:lang w:eastAsia="zh-CN"/>
        </w:rPr>
        <w:t xml:space="preserve">   </w:t>
      </w:r>
      <w:r>
        <w:rPr>
          <w:rFonts w:hint="default" w:ascii="仿宋_GB2312" w:hAnsi="Calibri" w:eastAsia="仿宋_GB2312" w:cs="仿宋_GB2312"/>
          <w:kern w:val="2"/>
          <w:sz w:val="32"/>
          <w:szCs w:val="32"/>
          <w:lang w:val="en-US" w:eastAsia="zh-CN" w:bidi="ar"/>
        </w:rPr>
        <w:t>2.响应文件递交地点：</w:t>
      </w:r>
      <w:r>
        <w:rPr>
          <w:rFonts w:hint="default" w:ascii="仿宋_GB2312" w:hAnsi="Calibri" w:eastAsia="仿宋_GB2312" w:cs="仿宋_GB2312"/>
          <w:kern w:val="2"/>
          <w:sz w:val="32"/>
          <w:szCs w:val="32"/>
          <w:u w:val="single"/>
          <w:lang w:val="en-US" w:eastAsia="zh-CN" w:bidi="ar"/>
        </w:rPr>
        <w:t>江西省赣州市章贡区章贡路百家岭8号</w:t>
      </w:r>
      <w:r>
        <w:rPr>
          <w:rFonts w:hint="default" w:ascii="仿宋_GB2312" w:hAnsi="Calibri" w:eastAsia="仿宋_GB2312" w:cs="仿宋_GB2312"/>
          <w:b w:val="0"/>
          <w:bCs w:val="0"/>
          <w:kern w:val="2"/>
          <w:sz w:val="32"/>
          <w:szCs w:val="32"/>
          <w:u w:val="single"/>
          <w:lang w:val="en-US" w:eastAsia="zh-CN" w:bidi="ar"/>
        </w:rPr>
        <w:t>赣州宋潮景区管理有限公司1楼会议室（章贡区章贡路金霞建材卫浴对面上楼梯直走）。</w:t>
      </w:r>
    </w:p>
    <w:p w14:paraId="6E4CB30B">
      <w:pPr>
        <w:keepNext w:val="0"/>
        <w:keepLines w:val="0"/>
        <w:widowControl w:val="0"/>
        <w:suppressLineNumbers w:val="0"/>
        <w:spacing w:before="0" w:beforeAutospacing="0" w:after="0" w:afterAutospacing="0"/>
        <w:ind w:left="0" w:right="0"/>
        <w:jc w:val="both"/>
      </w:pPr>
      <w:r>
        <w:rPr>
          <w:rFonts w:hint="default" w:ascii="仿宋_GB2312" w:hAnsi="Calibri" w:eastAsia="仿宋_GB2312" w:cs="仿宋_GB2312"/>
          <w:b w:val="0"/>
          <w:bCs w:val="0"/>
          <w:kern w:val="2"/>
          <w:sz w:val="32"/>
          <w:szCs w:val="32"/>
          <w:lang w:eastAsia="zh-CN" w:bidi="ar"/>
        </w:rPr>
        <w:t xml:space="preserve">   </w:t>
      </w:r>
      <w:r>
        <w:rPr>
          <w:rFonts w:hint="default" w:ascii="仿宋_GB2312" w:hAnsi="Calibri" w:eastAsia="仿宋_GB2312" w:cs="仿宋_GB2312"/>
          <w:b w:val="0"/>
          <w:bCs w:val="0"/>
          <w:kern w:val="2"/>
          <w:sz w:val="32"/>
          <w:szCs w:val="32"/>
          <w:lang w:val="en-US" w:eastAsia="zh-CN" w:bidi="ar"/>
        </w:rPr>
        <w:t>3.</w:t>
      </w:r>
      <w:r>
        <w:rPr>
          <w:rFonts w:hint="default" w:ascii="仿宋_GB2312" w:hAnsi="Calibri" w:eastAsia="仿宋_GB2312" w:cs="仿宋_GB2312"/>
          <w:kern w:val="2"/>
          <w:sz w:val="32"/>
          <w:szCs w:val="32"/>
          <w:lang w:val="en-US" w:eastAsia="zh-CN" w:bidi="ar"/>
        </w:rPr>
        <w:t>响应文件开启、评审地点：</w:t>
      </w:r>
      <w:r>
        <w:rPr>
          <w:rFonts w:hint="default" w:ascii="仿宋_GB2312" w:hAnsi="Calibri" w:eastAsia="仿宋_GB2312" w:cs="仿宋_GB2312"/>
          <w:kern w:val="2"/>
          <w:sz w:val="32"/>
          <w:szCs w:val="32"/>
          <w:u w:val="single"/>
          <w:lang w:val="en-US" w:eastAsia="zh-CN" w:bidi="ar"/>
        </w:rPr>
        <w:t>江西省赣州市章贡区章贡路百家岭8号</w:t>
      </w:r>
      <w:r>
        <w:rPr>
          <w:rFonts w:hint="default" w:ascii="仿宋_GB2312" w:hAnsi="Calibri" w:eastAsia="仿宋_GB2312" w:cs="仿宋_GB2312"/>
          <w:b w:val="0"/>
          <w:bCs w:val="0"/>
          <w:kern w:val="2"/>
          <w:sz w:val="32"/>
          <w:szCs w:val="32"/>
          <w:u w:val="single"/>
          <w:lang w:val="en-US" w:eastAsia="zh-CN" w:bidi="ar"/>
        </w:rPr>
        <w:t>赣州宋潮景区管理有限公司1楼会议室。</w:t>
      </w:r>
    </w:p>
    <w:p w14:paraId="1CBF122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p>
    <w:p w14:paraId="25970E52">
      <w:pPr>
        <w:keepNext w:val="0"/>
        <w:keepLines w:val="0"/>
        <w:pageBreakBefore w:val="0"/>
        <w:widowControl w:val="0"/>
        <w:numPr>
          <w:ilvl w:val="-1"/>
          <w:numId w:val="0"/>
        </w:numPr>
        <w:kinsoku/>
        <w:wordWrap/>
        <w:overflowPunct/>
        <w:topLinePunct w:val="0"/>
        <w:autoSpaceDE/>
        <w:autoSpaceDN/>
        <w:bidi w:val="0"/>
        <w:adjustRightInd/>
        <w:spacing w:line="520" w:lineRule="exact"/>
        <w:ind w:left="420" w:leftChars="200" w:firstLine="0" w:firstLineChars="0"/>
        <w:jc w:val="left"/>
        <w:textAlignment w:val="auto"/>
        <w:outlineLvl w:val="1"/>
        <w:rPr>
          <w:rFonts w:hint="eastAsia" w:ascii="楷体" w:hAnsi="楷体" w:eastAsia="楷体" w:cs="楷体"/>
          <w:b/>
          <w:bCs/>
          <w:color w:val="auto"/>
          <w:sz w:val="32"/>
          <w:szCs w:val="32"/>
          <w:lang w:val="en-US" w:eastAsia="zh-CN"/>
        </w:rPr>
      </w:pPr>
      <w:bookmarkStart w:id="38" w:name="_Toc9726"/>
      <w:bookmarkStart w:id="39" w:name="_Toc31921"/>
      <w:bookmarkStart w:id="40" w:name="_Toc7230"/>
      <w:bookmarkStart w:id="41" w:name="_Toc1966"/>
      <w:r>
        <w:rPr>
          <w:rFonts w:hint="default" w:ascii="楷体" w:hAnsi="楷体" w:eastAsia="楷体" w:cs="楷体"/>
          <w:b/>
          <w:bCs/>
          <w:color w:val="auto"/>
          <w:sz w:val="32"/>
          <w:szCs w:val="32"/>
          <w:lang w:eastAsia="zh-CN"/>
        </w:rPr>
        <w:t>九、</w:t>
      </w:r>
      <w:r>
        <w:rPr>
          <w:rFonts w:hint="eastAsia" w:ascii="楷体" w:hAnsi="楷体" w:eastAsia="楷体" w:cs="楷体"/>
          <w:b/>
          <w:bCs/>
          <w:color w:val="auto"/>
          <w:sz w:val="32"/>
          <w:szCs w:val="32"/>
          <w:lang w:val="en-US" w:eastAsia="zh-CN"/>
        </w:rPr>
        <w:t>询价</w:t>
      </w:r>
      <w:r>
        <w:rPr>
          <w:rFonts w:hint="eastAsia" w:ascii="楷体" w:hAnsi="楷体" w:eastAsia="楷体" w:cs="楷体"/>
          <w:b/>
          <w:bCs/>
          <w:color w:val="auto"/>
          <w:sz w:val="32"/>
          <w:szCs w:val="32"/>
          <w:lang w:val="en-US" w:eastAsia="zh-Hans"/>
        </w:rPr>
        <w:t>保证金</w:t>
      </w:r>
      <w:bookmarkEnd w:id="38"/>
      <w:r>
        <w:rPr>
          <w:rFonts w:hint="eastAsia" w:ascii="楷体" w:hAnsi="楷体" w:eastAsia="楷体" w:cs="楷体"/>
          <w:b/>
          <w:bCs/>
          <w:color w:val="auto"/>
          <w:sz w:val="32"/>
          <w:szCs w:val="32"/>
          <w:lang w:val="en-US" w:eastAsia="zh-CN"/>
        </w:rPr>
        <w:t>：</w:t>
      </w:r>
      <w:bookmarkEnd w:id="39"/>
      <w:bookmarkEnd w:id="40"/>
      <w:bookmarkEnd w:id="41"/>
    </w:p>
    <w:p w14:paraId="2182C01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single"/>
          <w:lang w:val="en-US" w:eastAsia="zh-Hans"/>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供应商应向</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交</w:t>
      </w:r>
      <w:r>
        <w:rPr>
          <w:rFonts w:hint="eastAsia" w:ascii="仿宋_GB2312" w:hAnsi="仿宋_GB2312" w:eastAsia="仿宋_GB2312" w:cs="仿宋_GB2312"/>
          <w:b w:val="0"/>
          <w:bCs w:val="0"/>
          <w:color w:val="auto"/>
          <w:sz w:val="32"/>
          <w:szCs w:val="32"/>
          <w:lang w:val="en-US" w:eastAsia="zh-Hans"/>
        </w:rPr>
        <w:t>纳</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保证金</w:t>
      </w:r>
      <w:r>
        <w:rPr>
          <w:rFonts w:hint="eastAsia" w:ascii="仿宋_GB2312" w:hAnsi="仿宋_GB2312" w:eastAsia="仿宋_GB2312" w:cs="仿宋_GB2312"/>
          <w:b w:val="0"/>
          <w:bCs w:val="0"/>
          <w:color w:val="auto"/>
          <w:sz w:val="32"/>
          <w:szCs w:val="32"/>
          <w:lang w:val="en-US" w:eastAsia="zh-CN"/>
        </w:rPr>
        <w:t>人民币大写</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 </w:t>
      </w:r>
      <w:r>
        <w:rPr>
          <w:rFonts w:hint="eastAsia" w:ascii="仿宋_GB2312" w:hAnsi="仿宋_GB2312" w:eastAsia="仿宋_GB2312" w:cs="仿宋_GB2312"/>
          <w:b w:val="0"/>
          <w:bCs w:val="0"/>
          <w:color w:val="auto"/>
          <w:sz w:val="32"/>
          <w:szCs w:val="32"/>
          <w:u w:val="none"/>
          <w:lang w:val="en-US" w:eastAsia="zh-CN"/>
        </w:rPr>
        <w:t>元（小写：</w:t>
      </w:r>
      <w:r>
        <w:rPr>
          <w:rFonts w:hint="eastAsia" w:ascii="仿宋_GB2312" w:hAnsi="仿宋_GB2312" w:eastAsia="仿宋_GB2312" w:cs="仿宋_GB2312"/>
          <w:b w:val="0"/>
          <w:bCs w:val="0"/>
          <w:color w:val="auto"/>
          <w:sz w:val="32"/>
          <w:szCs w:val="32"/>
          <w:u w:val="single"/>
          <w:lang w:val="en-US" w:eastAsia="zh-CN"/>
        </w:rPr>
        <w:t xml:space="preserve">  / </w:t>
      </w:r>
      <w:r>
        <w:rPr>
          <w:rFonts w:hint="eastAsia" w:ascii="仿宋_GB2312" w:hAnsi="仿宋_GB2312" w:eastAsia="仿宋_GB2312" w:cs="仿宋_GB2312"/>
          <w:b w:val="0"/>
          <w:bCs w:val="0"/>
          <w:color w:val="auto"/>
          <w:sz w:val="32"/>
          <w:szCs w:val="32"/>
          <w:u w:val="none"/>
          <w:lang w:val="en-US" w:eastAsia="zh-CN"/>
        </w:rPr>
        <w:t>元）。</w:t>
      </w:r>
    </w:p>
    <w:p w14:paraId="1361E1F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val="en-US" w:eastAsia="zh-CN"/>
        </w:rPr>
        <w:t>采用</w:t>
      </w:r>
      <w:r>
        <w:rPr>
          <w:rFonts w:hint="eastAsia" w:ascii="仿宋_GB2312" w:hAnsi="仿宋_GB2312" w:eastAsia="仿宋_GB2312" w:cs="仿宋_GB2312"/>
          <w:color w:val="auto"/>
          <w:sz w:val="32"/>
          <w:szCs w:val="32"/>
          <w:highlight w:val="none"/>
        </w:rPr>
        <w:t>银行电汇、转账、网上银行非现金形式交纳。</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证金应于响应文件提交截止时</w:t>
      </w:r>
      <w:r>
        <w:rPr>
          <w:rFonts w:hint="eastAsia" w:ascii="仿宋_GB2312" w:hAnsi="仿宋_GB2312" w:eastAsia="仿宋_GB2312" w:cs="仿宋_GB2312"/>
          <w:b w:val="0"/>
          <w:bCs/>
          <w:color w:val="auto"/>
          <w:sz w:val="32"/>
          <w:szCs w:val="32"/>
          <w:highlight w:val="none"/>
          <w:lang w:val="en-US" w:eastAsia="zh-CN"/>
        </w:rPr>
        <w:t>间</w:t>
      </w:r>
      <w:r>
        <w:rPr>
          <w:rFonts w:hint="eastAsia" w:ascii="仿宋_GB2312" w:hAnsi="仿宋_GB2312" w:eastAsia="仿宋_GB2312" w:cs="仿宋_GB2312"/>
          <w:b w:val="0"/>
          <w:bCs/>
          <w:color w:val="auto"/>
          <w:sz w:val="32"/>
          <w:szCs w:val="32"/>
          <w:highlight w:val="none"/>
        </w:rPr>
        <w:t>前按时</w:t>
      </w:r>
      <w:r>
        <w:rPr>
          <w:rFonts w:hint="eastAsia" w:ascii="仿宋_GB2312" w:hAnsi="仿宋_GB2312" w:eastAsia="仿宋_GB2312" w:cs="仿宋_GB2312"/>
          <w:bCs/>
          <w:color w:val="auto"/>
          <w:sz w:val="32"/>
          <w:szCs w:val="32"/>
          <w:highlight w:val="none"/>
        </w:rPr>
        <w:t>从</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基本账户一次性</w:t>
      </w:r>
      <w:r>
        <w:rPr>
          <w:rFonts w:hint="eastAsia" w:ascii="仿宋_GB2312" w:hAnsi="仿宋_GB2312" w:eastAsia="仿宋_GB2312" w:cs="仿宋_GB2312"/>
          <w:b w:val="0"/>
          <w:bCs/>
          <w:color w:val="auto"/>
          <w:sz w:val="32"/>
          <w:szCs w:val="32"/>
          <w:highlight w:val="none"/>
        </w:rPr>
        <w:t>足额转账至</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rPr>
        <w:t>账户内，如未按要求转入，将作无效</w:t>
      </w:r>
      <w:r>
        <w:rPr>
          <w:rFonts w:hint="eastAsia" w:ascii="仿宋_GB2312" w:hAnsi="仿宋_GB2312" w:eastAsia="仿宋_GB2312" w:cs="仿宋_GB2312"/>
          <w:b w:val="0"/>
          <w:bCs/>
          <w:color w:val="auto"/>
          <w:sz w:val="32"/>
          <w:szCs w:val="32"/>
          <w:highlight w:val="none"/>
          <w:lang w:val="en-US" w:eastAsia="zh-Hans"/>
        </w:rPr>
        <w:t>响应</w:t>
      </w:r>
      <w:r>
        <w:rPr>
          <w:rFonts w:hint="eastAsia" w:ascii="仿宋_GB2312" w:hAnsi="仿宋_GB2312" w:eastAsia="仿宋_GB2312" w:cs="仿宋_GB2312"/>
          <w:b w:val="0"/>
          <w:bCs/>
          <w:color w:val="auto"/>
          <w:sz w:val="32"/>
          <w:szCs w:val="32"/>
          <w:highlight w:val="none"/>
        </w:rPr>
        <w:t>处理。</w:t>
      </w:r>
    </w:p>
    <w:p w14:paraId="03CB3CC7">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收款单位：</w:t>
      </w:r>
      <w:r>
        <w:rPr>
          <w:rFonts w:hint="eastAsia" w:ascii="仿宋_GB2312" w:hAnsi="仿宋_GB2312" w:eastAsia="仿宋_GB2312" w:cs="仿宋_GB2312"/>
          <w:b/>
          <w:color w:val="auto"/>
          <w:sz w:val="32"/>
          <w:szCs w:val="32"/>
          <w:u w:val="single"/>
          <w:lang w:val="en-US" w:eastAsia="zh-CN"/>
        </w:rPr>
        <w:t xml:space="preserve">            /             </w:t>
      </w:r>
      <w:r>
        <w:rPr>
          <w:rFonts w:hint="eastAsia" w:ascii="仿宋_GB2312" w:hAnsi="仿宋_GB2312" w:eastAsia="仿宋_GB2312" w:cs="仿宋_GB2312"/>
          <w:b/>
          <w:color w:val="auto"/>
          <w:sz w:val="32"/>
          <w:szCs w:val="32"/>
        </w:rPr>
        <w:t xml:space="preserve"> </w:t>
      </w:r>
    </w:p>
    <w:p w14:paraId="183776E7">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开</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户</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行：</w:t>
      </w:r>
      <w:r>
        <w:rPr>
          <w:rFonts w:hint="eastAsia" w:ascii="仿宋_GB2312" w:hAnsi="仿宋_GB2312" w:eastAsia="仿宋_GB2312" w:cs="仿宋_GB2312"/>
          <w:b/>
          <w:color w:val="auto"/>
          <w:sz w:val="32"/>
          <w:szCs w:val="32"/>
          <w:u w:val="single"/>
          <w:lang w:val="en-US" w:eastAsia="zh-CN"/>
        </w:rPr>
        <w:t xml:space="preserve">            /             </w:t>
      </w:r>
      <w:r>
        <w:rPr>
          <w:rFonts w:hint="eastAsia" w:ascii="仿宋_GB2312" w:hAnsi="仿宋_GB2312" w:eastAsia="仿宋_GB2312" w:cs="仿宋_GB2312"/>
          <w:b/>
          <w:color w:val="auto"/>
          <w:sz w:val="32"/>
          <w:szCs w:val="32"/>
        </w:rPr>
        <w:t>  </w:t>
      </w:r>
    </w:p>
    <w:p w14:paraId="16A44DCD">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color w:val="auto"/>
          <w:sz w:val="32"/>
          <w:szCs w:val="32"/>
        </w:rPr>
        <w:t>银行账号：</w:t>
      </w:r>
      <w:r>
        <w:rPr>
          <w:rFonts w:hint="eastAsia" w:ascii="仿宋_GB2312" w:hAnsi="仿宋_GB2312" w:eastAsia="仿宋_GB2312" w:cs="仿宋_GB2312"/>
          <w:b w:val="0"/>
          <w:bCs/>
          <w:color w:val="auto"/>
          <w:sz w:val="32"/>
          <w:szCs w:val="32"/>
          <w:u w:val="single"/>
          <w:lang w:val="en-US" w:eastAsia="zh-CN"/>
        </w:rPr>
        <w:t xml:space="preserve">            /             </w:t>
      </w:r>
    </w:p>
    <w:p w14:paraId="061D462F">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outlineLvl w:val="1"/>
        <w:rPr>
          <w:rFonts w:hint="eastAsia" w:ascii="仿宋_GB2312" w:hAnsi="仿宋_GB2312" w:eastAsia="仿宋_GB2312" w:cs="仿宋_GB2312"/>
          <w:b w:val="0"/>
          <w:bCs/>
          <w:color w:val="auto"/>
          <w:sz w:val="32"/>
          <w:szCs w:val="32"/>
          <w:lang w:val="en-US" w:eastAsia="zh-CN"/>
        </w:rPr>
      </w:pPr>
      <w:bookmarkStart w:id="42" w:name="_Toc1702"/>
      <w:bookmarkStart w:id="43" w:name="_Toc20184"/>
      <w:bookmarkStart w:id="44" w:name="_Toc28407"/>
      <w:r>
        <w:rPr>
          <w:rFonts w:hint="eastAsia" w:ascii="仿宋_GB2312" w:hAnsi="仿宋_GB2312" w:eastAsia="仿宋_GB2312" w:cs="仿宋_GB2312"/>
          <w:b/>
          <w:color w:val="auto"/>
          <w:sz w:val="32"/>
          <w:szCs w:val="32"/>
        </w:rPr>
        <w:t>附    言：</w:t>
      </w:r>
      <w:r>
        <w:rPr>
          <w:rFonts w:hint="eastAsia" w:ascii="仿宋_GB2312" w:hAnsi="仿宋_GB2312" w:eastAsia="仿宋_GB2312" w:cs="仿宋_GB2312"/>
          <w:b w:val="0"/>
          <w:bCs/>
          <w:color w:val="auto"/>
          <w:sz w:val="32"/>
          <w:szCs w:val="32"/>
          <w:u w:val="single"/>
          <w:lang w:val="en-US" w:eastAsia="zh-CN"/>
        </w:rPr>
        <w:t xml:space="preserve">      /     </w:t>
      </w:r>
      <w:r>
        <w:rPr>
          <w:rFonts w:hint="eastAsia" w:ascii="仿宋_GB2312" w:hAnsi="仿宋_GB2312" w:eastAsia="仿宋_GB2312" w:cs="仿宋_GB2312"/>
          <w:b w:val="0"/>
          <w:bCs/>
          <w:color w:val="auto"/>
          <w:sz w:val="32"/>
          <w:szCs w:val="32"/>
          <w:lang w:val="en-US" w:eastAsia="zh-CN"/>
        </w:rPr>
        <w:t>项目询价保证金</w:t>
      </w:r>
      <w:bookmarkEnd w:id="42"/>
      <w:bookmarkEnd w:id="43"/>
      <w:bookmarkEnd w:id="44"/>
    </w:p>
    <w:p w14:paraId="049CBF0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未中</w:t>
      </w:r>
      <w:r>
        <w:rPr>
          <w:rFonts w:hint="eastAsia" w:ascii="仿宋_GB2312" w:hAnsi="仿宋_GB2312" w:eastAsia="仿宋_GB2312" w:cs="仿宋_GB2312"/>
          <w:bCs/>
          <w:color w:val="auto"/>
          <w:sz w:val="32"/>
          <w:szCs w:val="32"/>
          <w:highlight w:val="none"/>
          <w:lang w:val="en-US" w:eastAsia="zh-CN"/>
        </w:rPr>
        <w:t>选供应商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w:t>
      </w:r>
      <w:r>
        <w:rPr>
          <w:rFonts w:hint="eastAsia" w:ascii="仿宋_GB2312" w:hAnsi="仿宋_GB2312" w:eastAsia="仿宋_GB2312" w:cs="仿宋_GB2312"/>
          <w:bCs/>
          <w:color w:val="auto"/>
          <w:sz w:val="32"/>
          <w:szCs w:val="32"/>
          <w:highlight w:val="none"/>
          <w:lang w:val="en-US" w:eastAsia="zh-CN"/>
        </w:rPr>
        <w:t>成交</w:t>
      </w:r>
      <w:r>
        <w:rPr>
          <w:rFonts w:hint="eastAsia" w:ascii="仿宋_GB2312" w:hAnsi="仿宋_GB2312" w:eastAsia="仿宋_GB2312" w:cs="仿宋_GB2312"/>
          <w:bCs/>
          <w:color w:val="auto"/>
          <w:sz w:val="32"/>
          <w:szCs w:val="32"/>
          <w:highlight w:val="none"/>
        </w:rPr>
        <w:t>通知书》发出</w:t>
      </w:r>
      <w:r>
        <w:rPr>
          <w:rFonts w:hint="eastAsia" w:ascii="仿宋_GB2312" w:hAnsi="仿宋_GB2312" w:eastAsia="仿宋_GB2312" w:cs="仿宋_GB2312"/>
          <w:bCs/>
          <w:color w:val="auto"/>
          <w:sz w:val="32"/>
          <w:szCs w:val="32"/>
          <w:highlight w:val="none"/>
          <w:lang w:val="en-US" w:eastAsia="zh-CN"/>
        </w:rPr>
        <w:t>后</w:t>
      </w:r>
      <w:r>
        <w:rPr>
          <w:rFonts w:hint="eastAsia" w:ascii="仿宋_GB2312" w:hAnsi="仿宋_GB2312" w:eastAsia="仿宋_GB2312" w:cs="仿宋_GB2312"/>
          <w:bCs/>
          <w:color w:val="auto"/>
          <w:sz w:val="32"/>
          <w:szCs w:val="32"/>
          <w:highlight w:val="none"/>
          <w:u w:val="single"/>
          <w:lang w:val="en-US" w:eastAsia="zh-CN"/>
        </w:rPr>
        <w:t xml:space="preserve">  /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存在</w:t>
      </w:r>
      <w:r>
        <w:rPr>
          <w:rFonts w:hint="eastAsia" w:ascii="仿宋_GB2312" w:hAnsi="仿宋_GB2312" w:eastAsia="仿宋_GB2312" w:cs="仿宋_GB2312"/>
          <w:bCs/>
          <w:color w:val="auto"/>
          <w:sz w:val="32"/>
          <w:szCs w:val="32"/>
          <w:highlight w:val="none"/>
        </w:rPr>
        <w:t>质疑或投诉时，在质疑或投诉处理完毕后</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保证金，在合同签订后</w:t>
      </w:r>
      <w:r>
        <w:rPr>
          <w:rFonts w:hint="eastAsia" w:ascii="仿宋_GB2312" w:hAnsi="仿宋_GB2312" w:eastAsia="仿宋_GB2312" w:cs="仿宋_GB2312"/>
          <w:bCs/>
          <w:color w:val="auto"/>
          <w:sz w:val="32"/>
          <w:szCs w:val="32"/>
          <w:highlight w:val="none"/>
          <w:u w:val="single"/>
          <w:lang w:val="en-US" w:eastAsia="zh-CN"/>
        </w:rPr>
        <w:t xml:space="preserve">  /  </w:t>
      </w:r>
      <w:r>
        <w:rPr>
          <w:rFonts w:hint="eastAsia" w:ascii="仿宋_GB2312" w:hAnsi="仿宋_GB2312" w:eastAsia="仿宋_GB2312" w:cs="仿宋_GB2312"/>
          <w:bCs/>
          <w:color w:val="auto"/>
          <w:sz w:val="32"/>
          <w:szCs w:val="32"/>
          <w:highlight w:val="none"/>
        </w:rPr>
        <w:t>个工作日内无息退还。</w:t>
      </w:r>
    </w:p>
    <w:p w14:paraId="2155AA3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有下列情形之一的，取消候选</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或</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资格，</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保证金不予退还：</w:t>
      </w:r>
    </w:p>
    <w:p w14:paraId="45F00D7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（1）成交供应商</w:t>
      </w:r>
      <w:r>
        <w:rPr>
          <w:rFonts w:hint="eastAsia" w:ascii="仿宋_GB2312" w:hAnsi="仿宋_GB2312" w:eastAsia="仿宋_GB2312" w:cs="仿宋_GB2312"/>
          <w:bCs/>
          <w:color w:val="auto"/>
          <w:sz w:val="32"/>
          <w:szCs w:val="32"/>
          <w:highlight w:val="none"/>
        </w:rPr>
        <w:t>无正当理由不与</w:t>
      </w:r>
      <w:r>
        <w:rPr>
          <w:rFonts w:hint="eastAsia" w:ascii="仿宋_GB2312" w:hAnsi="仿宋_GB2312" w:eastAsia="仿宋_GB2312" w:cs="仿宋_GB2312"/>
          <w:bCs/>
          <w:color w:val="auto"/>
          <w:sz w:val="32"/>
          <w:szCs w:val="32"/>
          <w:highlight w:val="none"/>
          <w:lang w:val="en-US" w:eastAsia="zh-CN"/>
        </w:rPr>
        <w:t>采购人</w:t>
      </w:r>
      <w:r>
        <w:rPr>
          <w:rFonts w:hint="eastAsia" w:ascii="仿宋_GB2312" w:hAnsi="仿宋_GB2312" w:eastAsia="仿宋_GB2312" w:cs="仿宋_GB2312"/>
          <w:bCs/>
          <w:color w:val="auto"/>
          <w:sz w:val="32"/>
          <w:szCs w:val="32"/>
          <w:highlight w:val="none"/>
        </w:rPr>
        <w:t>签订合同的；</w:t>
      </w:r>
    </w:p>
    <w:p w14:paraId="6B86C05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（2）成交供应商</w:t>
      </w:r>
      <w:r>
        <w:rPr>
          <w:rFonts w:hint="eastAsia" w:ascii="仿宋_GB2312" w:hAnsi="仿宋_GB2312" w:eastAsia="仿宋_GB2312" w:cs="仿宋_GB2312"/>
          <w:bCs/>
          <w:color w:val="auto"/>
          <w:sz w:val="32"/>
          <w:szCs w:val="32"/>
          <w:highlight w:val="none"/>
        </w:rPr>
        <w:t>未按规定提交履约保证金的；</w:t>
      </w:r>
    </w:p>
    <w:p w14:paraId="3180762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（3）供应商</w:t>
      </w:r>
      <w:r>
        <w:rPr>
          <w:rFonts w:hint="eastAsia" w:ascii="仿宋_GB2312" w:hAnsi="仿宋_GB2312" w:eastAsia="仿宋_GB2312" w:cs="仿宋_GB2312"/>
          <w:bCs/>
          <w:color w:val="auto"/>
          <w:sz w:val="32"/>
          <w:szCs w:val="32"/>
          <w:highlight w:val="none"/>
        </w:rPr>
        <w:t>提供虚假材料</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虚假陈述的；</w:t>
      </w:r>
    </w:p>
    <w:p w14:paraId="32EAAF3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串通投标的；</w:t>
      </w:r>
    </w:p>
    <w:p w14:paraId="2E91062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lang w:eastAsia="zh-CN"/>
        </w:rPr>
        <w:t>文件</w:t>
      </w:r>
      <w:r>
        <w:rPr>
          <w:rFonts w:hint="eastAsia" w:ascii="仿宋_GB2312" w:hAnsi="仿宋_GB2312" w:eastAsia="仿宋_GB2312" w:cs="仿宋_GB2312"/>
          <w:bCs/>
          <w:color w:val="auto"/>
          <w:sz w:val="32"/>
          <w:szCs w:val="32"/>
          <w:highlight w:val="none"/>
        </w:rPr>
        <w:t>规定的</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有效期内撤回其</w:t>
      </w:r>
      <w:r>
        <w:rPr>
          <w:rFonts w:hint="eastAsia" w:ascii="仿宋_GB2312" w:hAnsi="仿宋_GB2312" w:eastAsia="仿宋_GB2312" w:cs="仿宋_GB2312"/>
          <w:bCs/>
          <w:color w:val="auto"/>
          <w:sz w:val="32"/>
          <w:szCs w:val="32"/>
          <w:highlight w:val="none"/>
          <w:lang w:val="en-US" w:eastAsia="zh-CN"/>
        </w:rPr>
        <w:t>响应文件</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p>
    <w:p w14:paraId="1FB6C482">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5" w:name="_Toc11861"/>
      <w:bookmarkStart w:id="46" w:name="_Toc3380"/>
      <w:bookmarkStart w:id="47" w:name="_Toc5113"/>
      <w:bookmarkStart w:id="48" w:name="_Toc16592"/>
      <w:r>
        <w:rPr>
          <w:rFonts w:hint="eastAsia" w:ascii="楷体" w:hAnsi="楷体" w:eastAsia="楷体" w:cs="楷体"/>
          <w:b/>
          <w:bCs/>
          <w:color w:val="auto"/>
          <w:sz w:val="32"/>
          <w:szCs w:val="32"/>
          <w:lang w:val="en-US" w:eastAsia="zh-Hans"/>
        </w:rPr>
        <w:t>联系方式：</w:t>
      </w:r>
      <w:bookmarkEnd w:id="45"/>
      <w:bookmarkEnd w:id="46"/>
      <w:bookmarkEnd w:id="47"/>
      <w:bookmarkEnd w:id="48"/>
    </w:p>
    <w:p w14:paraId="78D93BE2">
      <w:pPr>
        <w:keepNext w:val="0"/>
        <w:keepLines w:val="0"/>
        <w:pageBreakBefore w:val="0"/>
        <w:numPr>
          <w:ilvl w:val="0"/>
          <w:numId w:val="0"/>
        </w:numPr>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rPr>
        <w:t>采购人：</w:t>
      </w:r>
      <w:r>
        <w:rPr>
          <w:rFonts w:hint="eastAsia" w:ascii="仿宋_GB2312" w:hAnsi="仿宋_GB2312" w:eastAsia="仿宋_GB2312" w:cs="仿宋_GB2312"/>
          <w:bCs/>
          <w:color w:val="auto"/>
          <w:sz w:val="32"/>
          <w:szCs w:val="32"/>
          <w:u w:val="single"/>
          <w:lang w:val="en-US" w:eastAsia="zh-CN"/>
        </w:rPr>
        <w:t xml:space="preserve">  赣州宋潮景区管理有限公司                           </w:t>
      </w:r>
    </w:p>
    <w:p w14:paraId="713B8FB1">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地    址：</w:t>
      </w:r>
      <w:r>
        <w:rPr>
          <w:rFonts w:hint="eastAsia" w:ascii="仿宋_GB2312" w:hAnsi="仿宋_GB2312" w:eastAsia="仿宋_GB2312" w:cs="仿宋_GB2312"/>
          <w:bCs/>
          <w:color w:val="auto"/>
          <w:sz w:val="32"/>
          <w:szCs w:val="32"/>
          <w:u w:val="single"/>
          <w:lang w:val="en-US" w:eastAsia="zh-CN"/>
        </w:rPr>
        <w:t xml:space="preserve"> 江西省赣州市章贡区章贡路百家岭8号                           </w:t>
      </w:r>
    </w:p>
    <w:p w14:paraId="2D360FEE">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 系</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eastAsia" w:ascii="仿宋_GB2312" w:hAnsi="仿宋_GB2312" w:eastAsia="仿宋_GB2312" w:cs="仿宋_GB2312"/>
          <w:bCs/>
          <w:color w:val="auto"/>
          <w:sz w:val="32"/>
          <w:szCs w:val="32"/>
          <w:highlight w:val="none"/>
          <w:u w:val="single"/>
          <w:lang w:val="en-US" w:eastAsia="zh-CN"/>
        </w:rPr>
        <w:t xml:space="preserve">    傅女士                        </w:t>
      </w:r>
    </w:p>
    <w:p w14:paraId="51D67E2D">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rPr>
      </w:pPr>
      <w:r>
        <w:rPr>
          <w:rFonts w:hint="eastAsia" w:ascii="仿宋_GB2312" w:hAnsi="仿宋_GB2312" w:eastAsia="仿宋_GB2312" w:cs="仿宋_GB2312"/>
          <w:bCs/>
          <w:color w:val="auto"/>
          <w:sz w:val="32"/>
          <w:szCs w:val="32"/>
          <w:highlight w:val="none"/>
        </w:rPr>
        <w:t>联系方式：</w:t>
      </w:r>
      <w:r>
        <w:rPr>
          <w:rFonts w:hint="eastAsia" w:ascii="仿宋_GB2312" w:hAnsi="仿宋_GB2312" w:eastAsia="仿宋_GB2312" w:cs="仿宋_GB2312"/>
          <w:bCs/>
          <w:color w:val="auto"/>
          <w:sz w:val="32"/>
          <w:szCs w:val="32"/>
          <w:highlight w:val="none"/>
          <w:u w:val="single"/>
          <w:lang w:val="en-US" w:eastAsia="zh-CN"/>
        </w:rPr>
        <w:t xml:space="preserve">   15216105601                    </w:t>
      </w:r>
    </w:p>
    <w:p w14:paraId="05F1861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3E75D5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6B48E432">
      <w:pPr>
        <w:spacing w:line="360" w:lineRule="auto"/>
        <w:jc w:val="center"/>
        <w:outlineLvl w:val="0"/>
        <w:rPr>
          <w:rFonts w:hint="eastAsia" w:ascii="Times New Roman" w:hAnsi="黑体" w:eastAsia="黑体"/>
          <w:b/>
          <w:bCs w:val="0"/>
          <w:color w:val="auto"/>
          <w:sz w:val="32"/>
          <w:szCs w:val="32"/>
        </w:rPr>
      </w:pPr>
      <w:bookmarkStart w:id="49" w:name="_Toc16627"/>
      <w:bookmarkStart w:id="50" w:name="_Toc27978"/>
      <w:bookmarkStart w:id="51" w:name="_Toc5517"/>
      <w:bookmarkStart w:id="52" w:name="_Toc6233"/>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询价</w:t>
      </w:r>
      <w:r>
        <w:rPr>
          <w:rFonts w:hint="eastAsia" w:ascii="Times New Roman" w:hAnsi="黑体" w:eastAsia="黑体"/>
          <w:b/>
          <w:bCs w:val="0"/>
          <w:color w:val="auto"/>
          <w:sz w:val="32"/>
          <w:szCs w:val="32"/>
        </w:rPr>
        <w:t>程序和方法</w:t>
      </w:r>
      <w:bookmarkEnd w:id="49"/>
      <w:bookmarkEnd w:id="50"/>
      <w:bookmarkEnd w:id="51"/>
      <w:bookmarkEnd w:id="52"/>
    </w:p>
    <w:p w14:paraId="6D4F12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53" w:name="_Toc17731"/>
      <w:bookmarkStart w:id="54" w:name="_Toc15458"/>
      <w:bookmarkStart w:id="55"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53"/>
      <w:bookmarkEnd w:id="54"/>
    </w:p>
    <w:p w14:paraId="308681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5"/>
    </w:p>
    <w:p w14:paraId="78C3A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6" w:name="_Toc23099"/>
      <w:bookmarkStart w:id="57" w:name="_Toc14554"/>
      <w:r>
        <w:rPr>
          <w:rFonts w:hint="eastAsia" w:ascii="楷体" w:hAnsi="楷体" w:eastAsia="楷体" w:cs="楷体"/>
          <w:b/>
          <w:bCs w:val="0"/>
          <w:color w:val="auto"/>
          <w:sz w:val="32"/>
          <w:szCs w:val="32"/>
          <w:lang w:val="en-US" w:eastAsia="zh-CN"/>
        </w:rPr>
        <w:t>2.定义</w:t>
      </w:r>
      <w:bookmarkEnd w:id="56"/>
      <w:bookmarkEnd w:id="57"/>
    </w:p>
    <w:p w14:paraId="03068F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2.1采购人：</w:t>
      </w:r>
      <w:r>
        <w:rPr>
          <w:rFonts w:hint="eastAsia" w:ascii="仿宋_GB2312" w:hAnsi="仿宋_GB2312" w:eastAsia="仿宋_GB2312" w:cs="仿宋_GB2312"/>
          <w:color w:val="auto"/>
          <w:sz w:val="32"/>
          <w:szCs w:val="32"/>
          <w:u w:val="single"/>
          <w:lang w:val="en-US" w:eastAsia="zh-CN"/>
        </w:rPr>
        <w:t xml:space="preserve">    赣州宋潮景区管理有限公司            </w:t>
      </w:r>
    </w:p>
    <w:p w14:paraId="319238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14:paraId="6A54E7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8" w:name="_Toc19070"/>
      <w:bookmarkStart w:id="59" w:name="_Toc32497"/>
      <w:r>
        <w:rPr>
          <w:rFonts w:hint="eastAsia" w:ascii="楷体" w:hAnsi="楷体" w:eastAsia="楷体" w:cs="楷体"/>
          <w:b/>
          <w:bCs w:val="0"/>
          <w:color w:val="auto"/>
          <w:sz w:val="32"/>
          <w:szCs w:val="32"/>
          <w:lang w:val="en-US" w:eastAsia="zh-CN"/>
        </w:rPr>
        <w:t>3.响应文件的构成</w:t>
      </w:r>
      <w:bookmarkEnd w:id="58"/>
      <w:bookmarkEnd w:id="59"/>
    </w:p>
    <w:p w14:paraId="64F5C7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bookmarkStart w:id="60" w:name="_Toc4003"/>
      <w:r>
        <w:rPr>
          <w:rFonts w:hint="eastAsia" w:ascii="仿宋_GB2312" w:hAnsi="仿宋_GB2312" w:eastAsia="仿宋_GB2312" w:cs="仿宋_GB2312"/>
          <w:color w:val="auto"/>
          <w:sz w:val="32"/>
          <w:szCs w:val="32"/>
        </w:rPr>
        <w:t>3.1</w:t>
      </w:r>
      <w:r>
        <w:rPr>
          <w:rFonts w:hint="eastAsia" w:ascii="仿宋_GB2312" w:hAnsi="仿宋_GB2312" w:eastAsia="仿宋_GB2312" w:cs="仿宋_GB2312"/>
          <w:color w:val="auto"/>
          <w:sz w:val="32"/>
          <w:szCs w:val="32"/>
          <w:lang w:val="en-US" w:eastAsia="zh-CN"/>
        </w:rPr>
        <w:t>询价响应函</w:t>
      </w:r>
    </w:p>
    <w:p w14:paraId="2CB04E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3.2报价表</w:t>
      </w:r>
    </w:p>
    <w:p w14:paraId="718B07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法定代表人授权书；</w:t>
      </w:r>
      <w:bookmarkEnd w:id="60"/>
    </w:p>
    <w:p w14:paraId="7F0E4F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1" w:name="_Toc29314"/>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4商务条款响应表</w:t>
      </w:r>
      <w:r>
        <w:rPr>
          <w:rFonts w:hint="eastAsia" w:ascii="仿宋_GB2312" w:hAnsi="仿宋_GB2312" w:eastAsia="仿宋_GB2312" w:cs="仿宋_GB2312"/>
          <w:color w:val="auto"/>
          <w:sz w:val="32"/>
          <w:szCs w:val="32"/>
        </w:rPr>
        <w:t>；</w:t>
      </w:r>
      <w:bookmarkEnd w:id="61"/>
    </w:p>
    <w:p w14:paraId="71E9E8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2" w:name="_Toc3486"/>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5技术要求响应表</w:t>
      </w:r>
      <w:r>
        <w:rPr>
          <w:rFonts w:hint="eastAsia" w:ascii="仿宋_GB2312" w:hAnsi="仿宋_GB2312" w:eastAsia="仿宋_GB2312" w:cs="仿宋_GB2312"/>
          <w:color w:val="auto"/>
          <w:sz w:val="32"/>
          <w:szCs w:val="32"/>
        </w:rPr>
        <w:t>；</w:t>
      </w:r>
      <w:bookmarkEnd w:id="62"/>
    </w:p>
    <w:p w14:paraId="4B02AC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3.6资格证明等</w:t>
      </w:r>
      <w:bookmarkStart w:id="63" w:name="_Toc15977"/>
      <w:r>
        <w:rPr>
          <w:rFonts w:hint="eastAsia" w:ascii="仿宋_GB2312" w:hAnsi="仿宋_GB2312" w:eastAsia="仿宋_GB2312" w:cs="仿宋_GB2312"/>
          <w:color w:val="auto"/>
          <w:sz w:val="32"/>
          <w:szCs w:val="32"/>
        </w:rPr>
        <w:t>相关资料。</w:t>
      </w:r>
      <w:bookmarkEnd w:id="63"/>
    </w:p>
    <w:p w14:paraId="0D315A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4" w:name="_Toc9532"/>
      <w:bookmarkStart w:id="65" w:name="_Toc8898"/>
      <w:r>
        <w:rPr>
          <w:rFonts w:hint="eastAsia" w:ascii="楷体" w:hAnsi="楷体" w:eastAsia="楷体" w:cs="楷体"/>
          <w:b/>
          <w:bCs w:val="0"/>
          <w:color w:val="auto"/>
          <w:sz w:val="32"/>
          <w:szCs w:val="32"/>
          <w:lang w:val="en-US" w:eastAsia="zh-CN"/>
        </w:rPr>
        <w:t>4.询价文件澄清</w:t>
      </w:r>
      <w:bookmarkEnd w:id="64"/>
      <w:bookmarkEnd w:id="65"/>
    </w:p>
    <w:p w14:paraId="1C59D9B2">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提交响应文件截止之日前，采购人可以对已发出的询价文件进行必要的澄清或者修改，澄清或者修改的内容将同步在网站上进行公告。</w:t>
      </w:r>
    </w:p>
    <w:p w14:paraId="4A04A5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6" w:name="_Toc14236"/>
      <w:bookmarkStart w:id="67" w:name="_Toc2817"/>
      <w:bookmarkStart w:id="68" w:name="_Toc18159"/>
      <w:r>
        <w:rPr>
          <w:rFonts w:hint="eastAsia" w:ascii="楷体" w:hAnsi="楷体" w:eastAsia="楷体" w:cs="楷体"/>
          <w:b/>
          <w:bCs w:val="0"/>
          <w:color w:val="auto"/>
          <w:sz w:val="32"/>
          <w:szCs w:val="32"/>
          <w:lang w:val="en-US" w:eastAsia="zh-CN"/>
        </w:rPr>
        <w:t>5.响应文件的递交</w:t>
      </w:r>
      <w:bookmarkEnd w:id="66"/>
      <w:bookmarkEnd w:id="67"/>
    </w:p>
    <w:p w14:paraId="453A06A1">
      <w:pPr>
        <w:keepNext w:val="0"/>
        <w:keepLines w:val="0"/>
        <w:widowControl w:val="0"/>
        <w:suppressLineNumbers w:val="0"/>
        <w:shd w:val="clear" w:fill="FFFFFF"/>
        <w:autoSpaceDE w:val="0"/>
        <w:autoSpaceDN/>
        <w:spacing w:before="0" w:beforeAutospacing="0" w:after="0" w:afterAutospacing="0" w:line="560" w:lineRule="exact"/>
        <w:ind w:left="0" w:leftChars="0" w:right="0" w:firstLine="640" w:firstLineChars="200"/>
        <w:jc w:val="left"/>
        <w:rPr>
          <w:rFonts w:hint="default" w:ascii="仿宋_GB2312" w:eastAsia="仿宋_GB2312" w:cs="仿宋_GB2312"/>
          <w:kern w:val="2"/>
          <w:sz w:val="32"/>
          <w:szCs w:val="32"/>
          <w:shd w:val="clear" w:fill="FFFFFF"/>
        </w:rPr>
      </w:pPr>
      <w:r>
        <w:rPr>
          <w:rFonts w:hint="default" w:ascii="仿宋_GB2312" w:hAnsi="Calibri" w:eastAsia="仿宋_GB2312" w:cs="仿宋_GB2312"/>
          <w:kern w:val="2"/>
          <w:sz w:val="32"/>
          <w:szCs w:val="32"/>
          <w:shd w:val="clear" w:fill="FFFFFF"/>
          <w:lang w:val="en-US" w:eastAsia="zh-CN" w:bidi="ar"/>
        </w:rPr>
        <w:t>5.1供应商应当按照询价文件的要求编制响应文件，并在提交响应文件截止时间前，将响应文件密封送达指定地点，在提交响应文件截止时间后送达的响应文件为无效文件，采购人应当拒收。</w:t>
      </w:r>
    </w:p>
    <w:p w14:paraId="17E5316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14:paraId="65D6831F">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否则视为无效文件，采购人有权没收询价保证金。</w:t>
      </w:r>
    </w:p>
    <w:p w14:paraId="59ACF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9" w:name="_Toc26912"/>
      <w:bookmarkStart w:id="70" w:name="_Toc30046"/>
      <w:r>
        <w:rPr>
          <w:rFonts w:hint="eastAsia" w:ascii="楷体" w:hAnsi="楷体" w:eastAsia="楷体" w:cs="楷体"/>
          <w:b/>
          <w:bCs w:val="0"/>
          <w:color w:val="auto"/>
          <w:sz w:val="32"/>
          <w:szCs w:val="32"/>
          <w:lang w:val="en-US" w:eastAsia="zh-CN"/>
        </w:rPr>
        <w:t>6.开标仪式</w:t>
      </w:r>
      <w:bookmarkEnd w:id="69"/>
      <w:bookmarkEnd w:id="70"/>
    </w:p>
    <w:p w14:paraId="0B06A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68"/>
      <w:r>
        <w:rPr>
          <w:rFonts w:hint="eastAsia" w:ascii="仿宋_GB2312" w:hAnsi="仿宋_GB2312" w:eastAsia="仿宋_GB2312" w:cs="仿宋_GB2312"/>
          <w:color w:val="auto"/>
          <w:sz w:val="32"/>
          <w:szCs w:val="32"/>
          <w:lang w:val="en-US" w:eastAsia="zh-CN"/>
        </w:rPr>
        <w:t>。</w:t>
      </w:r>
    </w:p>
    <w:p w14:paraId="56F7D1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1" w:name="_Toc12905"/>
      <w:bookmarkStart w:id="72" w:name="_Toc26969"/>
      <w:r>
        <w:rPr>
          <w:rFonts w:hint="eastAsia" w:ascii="楷体" w:hAnsi="楷体" w:eastAsia="楷体" w:cs="楷体"/>
          <w:b/>
          <w:bCs w:val="0"/>
          <w:color w:val="auto"/>
          <w:sz w:val="32"/>
          <w:szCs w:val="32"/>
          <w:lang w:val="en-US" w:eastAsia="zh-CN"/>
        </w:rPr>
        <w:t>7.成立评审小组</w:t>
      </w:r>
      <w:bookmarkEnd w:id="71"/>
      <w:bookmarkEnd w:id="72"/>
    </w:p>
    <w:p w14:paraId="1500113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73"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73"/>
    </w:p>
    <w:p w14:paraId="707715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4" w:name="_Toc32336"/>
      <w:bookmarkStart w:id="75" w:name="_Toc5783"/>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74"/>
      <w:bookmarkEnd w:id="75"/>
    </w:p>
    <w:p w14:paraId="1F179B4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14:paraId="0EB316A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14:paraId="229738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6" w:name="_Toc10511"/>
      <w:bookmarkStart w:id="77" w:name="_Toc17075"/>
      <w:r>
        <w:rPr>
          <w:rFonts w:hint="eastAsia" w:ascii="楷体" w:hAnsi="楷体" w:eastAsia="楷体" w:cs="楷体"/>
          <w:b/>
          <w:bCs w:val="0"/>
          <w:color w:val="auto"/>
          <w:sz w:val="32"/>
          <w:szCs w:val="32"/>
          <w:lang w:val="en-US" w:eastAsia="zh-CN"/>
        </w:rPr>
        <w:t>9.错误修正</w:t>
      </w:r>
      <w:bookmarkEnd w:id="76"/>
      <w:bookmarkEnd w:id="77"/>
    </w:p>
    <w:p w14:paraId="38501B9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14:paraId="470FA43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14:paraId="0837557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14:paraId="348F616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14:paraId="442B8B80">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14:paraId="64D35E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bookmarkStart w:id="78" w:name="_Toc24360"/>
      <w:bookmarkStart w:id="79" w:name="_Toc16850"/>
      <w:r>
        <w:rPr>
          <w:rFonts w:hint="eastAsia" w:ascii="楷体" w:hAnsi="楷体" w:eastAsia="楷体" w:cs="楷体"/>
          <w:b/>
          <w:bCs w:val="0"/>
          <w:color w:val="auto"/>
          <w:sz w:val="32"/>
          <w:szCs w:val="32"/>
          <w:lang w:val="en-US" w:eastAsia="zh-CN"/>
        </w:rPr>
        <w:t>10.询价</w:t>
      </w:r>
      <w:bookmarkEnd w:id="78"/>
      <w:bookmarkEnd w:id="79"/>
    </w:p>
    <w:p w14:paraId="1B1EDA2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FF0000"/>
          <w:sz w:val="32"/>
          <w:szCs w:val="32"/>
          <w:u w:val="single"/>
        </w:rPr>
        <w:t>最低价格法</w:t>
      </w:r>
      <w:r>
        <w:rPr>
          <w:rFonts w:hint="eastAsia" w:ascii="仿宋_GB2312" w:hAnsi="仿宋_GB2312" w:eastAsia="仿宋_GB2312" w:cs="仿宋_GB2312"/>
          <w:b w:val="0"/>
          <w:bCs w:val="0"/>
          <w:color w:val="FF0000"/>
          <w:sz w:val="32"/>
          <w:szCs w:val="32"/>
          <w:u w:val="single"/>
          <w:lang w:eastAsia="zh-CN"/>
        </w:rPr>
        <w:t>（</w:t>
      </w:r>
      <w:r>
        <w:rPr>
          <w:rFonts w:hint="eastAsia" w:ascii="仿宋" w:hAnsi="仿宋" w:eastAsia="仿宋" w:cs="仿宋"/>
          <w:color w:val="FF0000"/>
          <w:kern w:val="0"/>
          <w:sz w:val="32"/>
          <w:szCs w:val="32"/>
          <w:u w:val="single"/>
          <w:lang w:val="en-US" w:eastAsia="zh-Hans"/>
        </w:rPr>
        <w:t>折扣率最低者中</w:t>
      </w:r>
      <w:r>
        <w:rPr>
          <w:rFonts w:hint="eastAsia" w:ascii="仿宋" w:hAnsi="仿宋" w:eastAsia="仿宋" w:cs="仿宋"/>
          <w:color w:val="FF0000"/>
          <w:kern w:val="0"/>
          <w:sz w:val="32"/>
          <w:szCs w:val="32"/>
          <w:u w:val="single"/>
          <w:lang w:val="en-US" w:eastAsia="zh-CN"/>
        </w:rPr>
        <w:t>选</w:t>
      </w:r>
      <w:r>
        <w:rPr>
          <w:rFonts w:hint="eastAsia" w:ascii="仿宋_GB2312" w:hAnsi="仿宋_GB2312" w:eastAsia="仿宋_GB2312" w:cs="仿宋_GB2312"/>
          <w:b w:val="0"/>
          <w:bCs w:val="0"/>
          <w:color w:val="FF0000"/>
          <w:sz w:val="32"/>
          <w:szCs w:val="32"/>
          <w:u w:val="single"/>
          <w:lang w:eastAsia="zh-CN"/>
        </w:rPr>
        <w:t>）</w:t>
      </w:r>
      <w:r>
        <w:rPr>
          <w:rFonts w:hint="eastAsia" w:ascii="仿宋_GB2312" w:hAnsi="仿宋_GB2312" w:eastAsia="仿宋_GB2312" w:cs="仿宋_GB2312"/>
          <w:color w:val="auto"/>
          <w:sz w:val="32"/>
          <w:szCs w:val="32"/>
        </w:rPr>
        <w:t>，即含税报价最低者中选。评审小组各成员应当独立对每个有效响应的文件进行评审，资格审查及符合性审查通过后，按照</w:t>
      </w:r>
      <w:r>
        <w:rPr>
          <w:rFonts w:hint="eastAsia" w:ascii="仿宋_GB2312" w:hAnsi="仿宋_GB2312" w:eastAsia="仿宋_GB2312" w:cs="仿宋_GB2312"/>
          <w:color w:val="auto"/>
          <w:sz w:val="32"/>
          <w:szCs w:val="32"/>
          <w:lang w:val="en-US" w:eastAsia="zh-CN"/>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最低不含税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w:t>
      </w:r>
    </w:p>
    <w:p w14:paraId="17DA5E7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举例说明</w:t>
      </w:r>
      <w:r>
        <w:rPr>
          <w:rFonts w:hint="eastAsia" w:ascii="仿宋_GB2312" w:hAnsi="仿宋_GB2312" w:eastAsia="仿宋_GB2312" w:cs="仿宋_GB2312"/>
          <w:color w:val="auto"/>
          <w:sz w:val="32"/>
          <w:szCs w:val="32"/>
          <w:highlight w:val="none"/>
          <w:lang w:val="en-US" w:eastAsia="zh-CN"/>
        </w:rPr>
        <w:t xml:space="preserve">：以所招标项目中标价为计算基数按发改价格〔2011〕534号文件分段累进计算后得出为11万元，再执行赣市财基字【2013】7号文件计算得出为8.2万元，响应供应商报价折扣率为70.50%，则最终招标代理服务费计算为82000*70.50%=57810元。 </w:t>
      </w:r>
    </w:p>
    <w:p w14:paraId="430DE0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0" w:name="_Toc8054"/>
      <w:bookmarkStart w:id="81" w:name="_Toc12958"/>
      <w:r>
        <w:rPr>
          <w:rFonts w:hint="eastAsia" w:ascii="楷体" w:hAnsi="楷体" w:eastAsia="楷体" w:cs="楷体"/>
          <w:b/>
          <w:bCs w:val="0"/>
          <w:color w:val="auto"/>
          <w:sz w:val="32"/>
          <w:szCs w:val="32"/>
          <w:lang w:val="en-US" w:eastAsia="zh-CN"/>
        </w:rPr>
        <w:t>11.评审结果</w:t>
      </w:r>
      <w:bookmarkEnd w:id="80"/>
      <w:bookmarkEnd w:id="81"/>
    </w:p>
    <w:p w14:paraId="31F82EC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14:paraId="69A42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2" w:name="_Toc1393"/>
      <w:bookmarkStart w:id="83" w:name="_Toc19625"/>
      <w:r>
        <w:rPr>
          <w:rFonts w:hint="eastAsia" w:ascii="楷体" w:hAnsi="楷体" w:eastAsia="楷体" w:cs="楷体"/>
          <w:b/>
          <w:bCs w:val="0"/>
          <w:color w:val="auto"/>
          <w:sz w:val="32"/>
          <w:szCs w:val="32"/>
          <w:lang w:val="en-US" w:eastAsia="zh-CN"/>
        </w:rPr>
        <w:t>12.确定供应商</w:t>
      </w:r>
      <w:bookmarkEnd w:id="82"/>
      <w:bookmarkEnd w:id="83"/>
    </w:p>
    <w:p w14:paraId="38F074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14:paraId="16D507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4" w:name="_Toc12989"/>
      <w:bookmarkStart w:id="85" w:name="_Toc21621"/>
      <w:r>
        <w:rPr>
          <w:rFonts w:hint="eastAsia" w:ascii="楷体" w:hAnsi="楷体" w:eastAsia="楷体" w:cs="楷体"/>
          <w:b/>
          <w:bCs w:val="0"/>
          <w:color w:val="auto"/>
          <w:sz w:val="32"/>
          <w:szCs w:val="32"/>
          <w:lang w:val="en-US" w:eastAsia="zh-CN"/>
        </w:rPr>
        <w:t>13.发出成交通知书</w:t>
      </w:r>
      <w:bookmarkEnd w:id="84"/>
      <w:bookmarkEnd w:id="85"/>
    </w:p>
    <w:p w14:paraId="6C99AE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14:paraId="4DC1A6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6" w:name="_Toc14674"/>
      <w:bookmarkStart w:id="87" w:name="_Toc16820"/>
      <w:r>
        <w:rPr>
          <w:rFonts w:hint="eastAsia" w:ascii="楷体" w:hAnsi="楷体" w:eastAsia="楷体" w:cs="楷体"/>
          <w:b/>
          <w:bCs w:val="0"/>
          <w:color w:val="auto"/>
          <w:sz w:val="32"/>
          <w:szCs w:val="32"/>
          <w:lang w:val="en-US" w:eastAsia="zh-CN"/>
        </w:rPr>
        <w:t>14.签订合同</w:t>
      </w:r>
      <w:bookmarkEnd w:id="86"/>
      <w:bookmarkEnd w:id="87"/>
    </w:p>
    <w:p w14:paraId="76AFB4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询价</w:t>
      </w:r>
      <w:r>
        <w:rPr>
          <w:rFonts w:hint="eastAsia" w:ascii="仿宋" w:hAnsi="仿宋" w:eastAsia="仿宋" w:cs="仿宋"/>
          <w:color w:val="auto"/>
          <w:kern w:val="0"/>
          <w:sz w:val="32"/>
          <w:szCs w:val="32"/>
          <w:u w:val="none"/>
          <w:lang w:val="en-US" w:eastAsia="zh-Hans"/>
        </w:rPr>
        <w:t>文件确定的合同文本以及采购标的等实质性内容的协议。</w:t>
      </w:r>
    </w:p>
    <w:p w14:paraId="738B325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且采购人有权不退还该供应商的询价保证金</w:t>
      </w:r>
      <w:r>
        <w:rPr>
          <w:rFonts w:hint="eastAsia" w:ascii="仿宋_GB2312" w:hAnsi="仿宋_GB2312" w:eastAsia="仿宋_GB2312" w:cs="仿宋_GB2312"/>
          <w:color w:val="auto"/>
          <w:sz w:val="32"/>
          <w:szCs w:val="32"/>
        </w:rPr>
        <w:t>。</w:t>
      </w:r>
    </w:p>
    <w:p w14:paraId="14EB1B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8" w:name="_Toc6333"/>
      <w:bookmarkStart w:id="89" w:name="_Toc13722"/>
      <w:r>
        <w:rPr>
          <w:rFonts w:hint="eastAsia" w:ascii="楷体" w:hAnsi="楷体" w:eastAsia="楷体" w:cs="楷体"/>
          <w:b/>
          <w:bCs w:val="0"/>
          <w:color w:val="auto"/>
          <w:sz w:val="32"/>
          <w:szCs w:val="32"/>
          <w:lang w:val="en-US" w:eastAsia="zh-CN"/>
        </w:rPr>
        <w:t>15.终止询价采购</w:t>
      </w:r>
      <w:bookmarkEnd w:id="88"/>
      <w:bookmarkEnd w:id="89"/>
    </w:p>
    <w:p w14:paraId="7447A8E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的供应商并说明原因，重新开展采购活动：</w:t>
      </w:r>
    </w:p>
    <w:p w14:paraId="50F85F6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采购方式的；</w:t>
      </w:r>
    </w:p>
    <w:p w14:paraId="72AAC75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14:paraId="0EA31276">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14:paraId="614F20BE">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14:paraId="5E71FC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16.响应供应商有下列情形之一的，属于实质上没有响应询价文件要求的响应，其响应将被视为无效响应：</w:t>
      </w:r>
    </w:p>
    <w:p w14:paraId="1F3A35D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4FFB8839">
      <w:pPr>
        <w:keepNext w:val="0"/>
        <w:keepLines w:val="0"/>
        <w:widowControl w:val="0"/>
        <w:suppressLineNumbers w:val="0"/>
        <w:shd w:val="clear" w:fill="FFFFFF"/>
        <w:autoSpaceDE w:val="0"/>
        <w:autoSpaceDN/>
        <w:spacing w:before="0" w:beforeAutospacing="0" w:after="0" w:afterAutospacing="0" w:line="560" w:lineRule="exact"/>
        <w:ind w:left="0" w:leftChars="0" w:right="0" w:firstLine="640" w:firstLineChars="200"/>
        <w:jc w:val="left"/>
        <w:rPr>
          <w:rFonts w:hint="default" w:ascii="仿宋_GB2312" w:eastAsia="仿宋_GB2312" w:cs="仿宋_GB2312"/>
          <w:kern w:val="2"/>
          <w:sz w:val="32"/>
          <w:szCs w:val="32"/>
          <w:shd w:val="clear" w:fill="FFFFFF"/>
        </w:rPr>
      </w:pPr>
      <w:r>
        <w:rPr>
          <w:rFonts w:hint="default" w:ascii="仿宋_GB2312" w:hAnsi="Calibri" w:eastAsia="仿宋_GB2312" w:cs="仿宋_GB2312"/>
          <w:kern w:val="2"/>
          <w:sz w:val="32"/>
          <w:szCs w:val="32"/>
          <w:shd w:val="clear" w:fill="FFFFFF"/>
          <w:lang w:val="en-US" w:eastAsia="zh-CN" w:bidi="ar"/>
        </w:rPr>
        <w:t>16.2响应文件数量不足的；</w:t>
      </w:r>
    </w:p>
    <w:p w14:paraId="653CD2C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14:paraId="4B34689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14:paraId="4675BCF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现场签到的响应代表与响应文件中响应代表不一致的</w:t>
      </w:r>
      <w:r>
        <w:rPr>
          <w:rFonts w:hint="eastAsia" w:ascii="仿宋_GB2312" w:hAnsi="仿宋_GB2312" w:eastAsia="仿宋_GB2312" w:cs="仿宋_GB2312"/>
          <w:color w:val="auto"/>
          <w:sz w:val="32"/>
          <w:szCs w:val="32"/>
          <w:lang w:val="en-US" w:eastAsia="zh-CN"/>
        </w:rPr>
        <w:t>；</w:t>
      </w:r>
    </w:p>
    <w:p w14:paraId="26A9467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14:paraId="619AC2B6">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14:paraId="799FB88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14:paraId="6D37A75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文件格式规定填写的</w:t>
      </w:r>
      <w:r>
        <w:rPr>
          <w:rFonts w:hint="eastAsia" w:ascii="仿宋_GB2312" w:hAnsi="仿宋_GB2312" w:eastAsia="仿宋_GB2312" w:cs="仿宋_GB2312"/>
          <w:color w:val="auto"/>
          <w:sz w:val="32"/>
          <w:szCs w:val="32"/>
          <w:lang w:eastAsia="zh-CN"/>
        </w:rPr>
        <w:t>；</w:t>
      </w:r>
    </w:p>
    <w:p w14:paraId="1C40281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14:paraId="7D82A73F">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16.11</w:t>
      </w:r>
      <w:r>
        <w:rPr>
          <w:rFonts w:hint="eastAsia" w:ascii="仿宋_GB2312" w:hAnsi="仿宋_GB2312" w:eastAsia="仿宋_GB2312" w:cs="仿宋_GB2312"/>
          <w:color w:val="auto"/>
          <w:sz w:val="32"/>
          <w:szCs w:val="32"/>
        </w:rPr>
        <w:t>法定代表人为同一人的两个及两个以上响应供应商；</w:t>
      </w:r>
    </w:p>
    <w:p w14:paraId="60331BE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6.12响应供应商相互之间存在直接控股、管理关系的；</w:t>
      </w:r>
    </w:p>
    <w:p w14:paraId="3DD641C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6.13</w:t>
      </w:r>
      <w:r>
        <w:rPr>
          <w:rFonts w:hint="eastAsia" w:ascii="仿宋_GB2312" w:hAnsi="仿宋_GB2312" w:eastAsia="仿宋_GB2312" w:cs="仿宋_GB2312"/>
          <w:color w:val="auto"/>
          <w:sz w:val="32"/>
          <w:szCs w:val="32"/>
          <w:highlight w:val="none"/>
          <w:lang w:val="en-US" w:eastAsia="zh-CN"/>
        </w:rPr>
        <w:t>响应供应商报价超出最高限价的；</w:t>
      </w:r>
    </w:p>
    <w:p w14:paraId="79BDF57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16.14存在相关法律法规规定的其他情形的。</w:t>
      </w:r>
    </w:p>
    <w:p w14:paraId="40CAEF43">
      <w:pPr>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6C82986">
      <w:pPr>
        <w:spacing w:line="360" w:lineRule="auto"/>
        <w:jc w:val="center"/>
        <w:outlineLvl w:val="0"/>
        <w:rPr>
          <w:rFonts w:hint="eastAsia" w:ascii="仿宋_GB2312" w:hAnsi="仿宋_GB2312" w:eastAsia="仿宋_GB2312" w:cs="仿宋_GB2312"/>
          <w:color w:val="auto"/>
          <w:sz w:val="32"/>
          <w:szCs w:val="32"/>
        </w:rPr>
      </w:pPr>
      <w:bookmarkStart w:id="90" w:name="_Toc7770"/>
      <w:bookmarkStart w:id="91" w:name="_Toc28994"/>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90"/>
      <w:bookmarkEnd w:id="91"/>
    </w:p>
    <w:p w14:paraId="5710EC94">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92" w:name="_Toc25151"/>
      <w:bookmarkStart w:id="93" w:name="_Toc24837"/>
      <w:r>
        <w:rPr>
          <w:rFonts w:hint="eastAsia" w:ascii="楷体" w:hAnsi="楷体" w:eastAsia="楷体" w:cs="楷体"/>
          <w:b/>
          <w:bCs/>
          <w:color w:val="auto"/>
          <w:sz w:val="32"/>
          <w:szCs w:val="32"/>
          <w:lang w:val="en-US" w:eastAsia="zh-CN"/>
        </w:rPr>
        <w:t>一、商务要求</w:t>
      </w:r>
      <w:bookmarkEnd w:id="92"/>
      <w:bookmarkEnd w:id="93"/>
    </w:p>
    <w:tbl>
      <w:tblPr>
        <w:tblStyle w:val="42"/>
        <w:tblW w:w="8366"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04"/>
        <w:gridCol w:w="1312"/>
        <w:gridCol w:w="6450"/>
      </w:tblGrid>
      <w:tr w14:paraId="1449CE2B">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04"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68C1A211">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312" w:type="dxa"/>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14:paraId="201A209D">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6450" w:type="dxa"/>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14:paraId="123C68CB">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14:paraId="6F05C926">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C040FF3">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3471555">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服务地点</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6CE120D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赣州市章贡区江南宋城历史文化旅游区</w:t>
            </w:r>
          </w:p>
        </w:tc>
      </w:tr>
      <w:tr w14:paraId="14726E3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wAfter w:w="0" w:type="auto"/>
          <w:trHeight w:val="904"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5254416">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113B1F9">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6EB51DFF">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自办理招标手续开始，到协助签订合同移交资料为止。</w:t>
            </w:r>
          </w:p>
        </w:tc>
      </w:tr>
      <w:tr w14:paraId="03241EAB">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5C68ACB">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86E295F">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服务</w:t>
            </w:r>
            <w:r>
              <w:rPr>
                <w:rFonts w:hint="eastAsia" w:asciiTheme="minorEastAsia" w:hAnsiTheme="minorEastAsia" w:cstheme="minorEastAsia"/>
                <w:b w:val="0"/>
                <w:bCs/>
                <w:color w:val="auto"/>
                <w:sz w:val="24"/>
                <w:szCs w:val="24"/>
                <w:lang w:val="en-US" w:eastAsia="zh-CN"/>
              </w:rPr>
              <w:t>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71F3DF94">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b/>
                <w:bCs/>
                <w:color w:val="auto"/>
                <w:sz w:val="24"/>
                <w:szCs w:val="24"/>
              </w:rPr>
            </w:pPr>
            <w:r>
              <w:rPr>
                <w:rFonts w:hint="eastAsia" w:ascii="宋体" w:hAnsi="宋体" w:cs="宋体"/>
                <w:sz w:val="24"/>
                <w:szCs w:val="24"/>
                <w:lang w:bidi="ar"/>
              </w:rPr>
              <w:t>按相关法律规章及采购人要求保质保量完成江南宋城历史文化旅游区提升改造一期项目—灯光提升项目招标代理服务工作。</w:t>
            </w:r>
          </w:p>
        </w:tc>
      </w:tr>
      <w:tr w14:paraId="1623E8FC">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60593AFB">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0441EF44">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付款方式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20FFCBE5">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0"/>
                <w:sz w:val="24"/>
                <w:szCs w:val="24"/>
                <w:lang w:val="en-US" w:eastAsia="zh-CN"/>
              </w:rPr>
              <w:t>由招标代理单位向对应的中标单位按所招标采购项目收取代理服务费，采购人不另行向中选招标代理单位支付任何费用。</w:t>
            </w:r>
          </w:p>
        </w:tc>
      </w:tr>
      <w:tr w14:paraId="26EDC0EA">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55DC022">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5</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AED162B">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报价方式</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1D2402A6">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color w:val="auto"/>
                <w:sz w:val="24"/>
                <w:szCs w:val="24"/>
              </w:rPr>
              <w:t>以</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b/>
                <w:bCs/>
                <w:color w:val="auto"/>
                <w:sz w:val="24"/>
                <w:u w:val="single"/>
              </w:rPr>
              <w:t>折扣率</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报价，</w:t>
            </w:r>
            <w:r>
              <w:rPr>
                <w:rFonts w:hint="eastAsia" w:asciiTheme="minorEastAsia" w:hAnsiTheme="minorEastAsia" w:cstheme="minorEastAsia"/>
                <w:color w:val="auto"/>
                <w:sz w:val="24"/>
                <w:szCs w:val="24"/>
                <w:lang w:val="en-US" w:eastAsia="zh-CN"/>
              </w:rPr>
              <w:t>该报价</w:t>
            </w:r>
            <w:r>
              <w:rPr>
                <w:rFonts w:hint="eastAsia" w:asciiTheme="minorEastAsia" w:hAnsiTheme="minorEastAsia" w:eastAsiaTheme="minorEastAsia" w:cstheme="minorEastAsia"/>
                <w:color w:val="auto"/>
                <w:sz w:val="24"/>
                <w:szCs w:val="24"/>
              </w:rPr>
              <w:t>包括</w:t>
            </w:r>
            <w:r>
              <w:rPr>
                <w:rFonts w:hint="eastAsia" w:asciiTheme="minorEastAsia" w:hAnsiTheme="minorEastAsia" w:eastAsiaTheme="minorEastAsia" w:cstheme="minorEastAsia"/>
                <w:color w:val="auto"/>
                <w:sz w:val="24"/>
                <w:szCs w:val="24"/>
                <w:lang w:val="en-US" w:eastAsia="zh-CN"/>
              </w:rPr>
              <w:t>但不限于</w:t>
            </w:r>
            <w:r>
              <w:rPr>
                <w:rFonts w:hint="eastAsia" w:asciiTheme="minorEastAsia" w:hAnsiTheme="minorEastAsia" w:eastAsiaTheme="minorEastAsia" w:cstheme="minorEastAsia"/>
                <w:color w:val="auto"/>
                <w:sz w:val="24"/>
                <w:szCs w:val="24"/>
              </w:rPr>
              <w:t>完成本项目所需人员</w:t>
            </w:r>
            <w:r>
              <w:rPr>
                <w:rFonts w:hint="eastAsia" w:asciiTheme="minorEastAsia" w:hAnsiTheme="minorEastAsia" w:cstheme="minorEastAsia"/>
                <w:color w:val="auto"/>
                <w:sz w:val="24"/>
                <w:szCs w:val="24"/>
                <w:lang w:val="en-US" w:eastAsia="zh-CN"/>
              </w:rPr>
              <w:t>费用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物料、设备、</w:t>
            </w:r>
            <w:r>
              <w:rPr>
                <w:rFonts w:hint="eastAsia" w:asciiTheme="minorEastAsia" w:hAnsiTheme="minorEastAsia" w:cstheme="minorEastAsia"/>
                <w:color w:val="auto"/>
                <w:sz w:val="24"/>
                <w:szCs w:val="24"/>
                <w:lang w:val="en-US" w:eastAsia="zh-CN"/>
              </w:rPr>
              <w:t>管理费用、利润、</w:t>
            </w:r>
            <w:r>
              <w:rPr>
                <w:rFonts w:hint="eastAsia" w:asciiTheme="minorEastAsia" w:hAnsiTheme="minorEastAsia" w:eastAsiaTheme="minorEastAsia" w:cstheme="minorEastAsia"/>
                <w:color w:val="auto"/>
                <w:sz w:val="24"/>
                <w:szCs w:val="24"/>
              </w:rPr>
              <w:t>税金等一切费用</w:t>
            </w:r>
            <w:r>
              <w:rPr>
                <w:rFonts w:hint="eastAsia" w:asciiTheme="minorEastAsia" w:hAnsiTheme="minorEastAsia" w:eastAsiaTheme="minorEastAsia" w:cstheme="minorEastAsia"/>
                <w:color w:val="auto"/>
                <w:sz w:val="24"/>
                <w:szCs w:val="24"/>
                <w:lang w:eastAsia="zh-Hans"/>
              </w:rPr>
              <w:t>。</w:t>
            </w:r>
          </w:p>
        </w:tc>
      </w:tr>
      <w:tr w14:paraId="47D14D9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DB5B4BD">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6</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2FA5712A">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履约保证金</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3710CDEF">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2"/>
                <w:sz w:val="24"/>
                <w:szCs w:val="24"/>
                <w:lang w:val="en-US" w:eastAsia="zh-CN" w:bidi="ar-SA"/>
              </w:rPr>
              <w:t>实行履约保证金担保，履约保证金为合同价款</w:t>
            </w:r>
            <w:r>
              <w:rPr>
                <w:rFonts w:hint="eastAsia" w:asciiTheme="minorEastAsia" w:hAnsiTheme="minorEastAsia" w:cstheme="minorEastAsia"/>
                <w:b w:val="0"/>
                <w:bCs/>
                <w:color w:val="auto"/>
                <w:kern w:val="2"/>
                <w:sz w:val="24"/>
                <w:szCs w:val="24"/>
                <w:u w:val="single"/>
                <w:lang w:val="en-US" w:eastAsia="zh-CN" w:bidi="ar-SA"/>
              </w:rPr>
              <w:t xml:space="preserve">   / </w:t>
            </w:r>
            <w:r>
              <w:rPr>
                <w:rFonts w:hint="eastAsia" w:asciiTheme="minorEastAsia" w:hAnsiTheme="minorEastAsia" w:eastAsiaTheme="minorEastAsia" w:cstheme="minorEastAsia"/>
                <w:b w:val="0"/>
                <w:bCs/>
                <w:color w:val="auto"/>
                <w:kern w:val="2"/>
                <w:sz w:val="24"/>
                <w:szCs w:val="24"/>
                <w:lang w:val="en-US" w:eastAsia="zh-CN" w:bidi="ar-SA"/>
              </w:rPr>
              <w:t>﹪</w:t>
            </w:r>
            <w:r>
              <w:rPr>
                <w:rFonts w:hint="eastAsia" w:asciiTheme="minorEastAsia" w:hAnsiTheme="minorEastAsia" w:cstheme="minorEastAsia"/>
                <w:b w:val="0"/>
                <w:bCs/>
                <w:color w:val="auto"/>
                <w:kern w:val="2"/>
                <w:sz w:val="24"/>
                <w:szCs w:val="24"/>
                <w:lang w:val="en-US" w:eastAsia="zh-CN" w:bidi="ar-SA"/>
              </w:rPr>
              <w:t>【或</w:t>
            </w:r>
            <w:r>
              <w:rPr>
                <w:rFonts w:hint="eastAsia" w:asciiTheme="minorEastAsia" w:hAnsiTheme="minorEastAsia" w:eastAsiaTheme="minorEastAsia" w:cstheme="minorEastAsia"/>
                <w:b w:val="0"/>
                <w:bCs/>
                <w:color w:val="auto"/>
                <w:kern w:val="2"/>
                <w:sz w:val="24"/>
                <w:szCs w:val="24"/>
                <w:lang w:val="en-US" w:eastAsia="zh-CN" w:bidi="ar-SA"/>
              </w:rPr>
              <w:t>履约保证金</w:t>
            </w:r>
            <w:r>
              <w:rPr>
                <w:rFonts w:hint="eastAsia" w:asciiTheme="minorEastAsia" w:hAnsiTheme="minorEastAsia" w:cstheme="minorEastAsia"/>
                <w:b w:val="0"/>
                <w:bCs/>
                <w:color w:val="auto"/>
                <w:kern w:val="2"/>
                <w:sz w:val="24"/>
                <w:szCs w:val="24"/>
                <w:lang w:val="en-US" w:eastAsia="zh-CN" w:bidi="ar-SA"/>
              </w:rPr>
              <w:t>共计人民币</w:t>
            </w:r>
            <w:r>
              <w:rPr>
                <w:rFonts w:hint="eastAsia" w:asciiTheme="minorEastAsia" w:hAnsiTheme="minorEastAsia" w:cstheme="minorEastAsia"/>
                <w:b w:val="0"/>
                <w:bCs/>
                <w:color w:val="auto"/>
                <w:kern w:val="2"/>
                <w:sz w:val="24"/>
                <w:szCs w:val="24"/>
                <w:u w:val="single"/>
                <w:lang w:val="en-US" w:eastAsia="zh-CN" w:bidi="ar-SA"/>
              </w:rPr>
              <w:t xml:space="preserve">   /   </w:t>
            </w:r>
            <w:r>
              <w:rPr>
                <w:rFonts w:hint="eastAsia" w:asciiTheme="minorEastAsia" w:hAnsiTheme="minorEastAsia" w:cstheme="minorEastAsia"/>
                <w:b w:val="0"/>
                <w:bCs/>
                <w:color w:val="auto"/>
                <w:kern w:val="2"/>
                <w:sz w:val="24"/>
                <w:szCs w:val="24"/>
                <w:u w:val="none"/>
                <w:lang w:val="en-US" w:eastAsia="zh-CN" w:bidi="ar-SA"/>
              </w:rPr>
              <w:t>元（小写：</w:t>
            </w:r>
            <w:r>
              <w:rPr>
                <w:rFonts w:hint="eastAsia" w:asciiTheme="minorEastAsia" w:hAnsiTheme="minorEastAsia" w:cstheme="minorEastAsia"/>
                <w:b w:val="0"/>
                <w:bCs/>
                <w:color w:val="auto"/>
                <w:kern w:val="2"/>
                <w:sz w:val="24"/>
                <w:szCs w:val="24"/>
                <w:u w:val="single"/>
                <w:lang w:val="en-US" w:eastAsia="zh-CN" w:bidi="ar-SA"/>
              </w:rPr>
              <w:t xml:space="preserve">   /  </w:t>
            </w:r>
            <w:r>
              <w:rPr>
                <w:rFonts w:hint="eastAsia" w:asciiTheme="minorEastAsia" w:hAnsiTheme="minorEastAsia" w:cstheme="minorEastAsia"/>
                <w:b w:val="0"/>
                <w:bCs/>
                <w:color w:val="auto"/>
                <w:kern w:val="2"/>
                <w:sz w:val="24"/>
                <w:szCs w:val="24"/>
                <w:u w:val="none"/>
                <w:lang w:val="en-US" w:eastAsia="zh-CN" w:bidi="ar-SA"/>
              </w:rPr>
              <w:t>元）</w:t>
            </w:r>
            <w:r>
              <w:rPr>
                <w:rFonts w:hint="eastAsia" w:asciiTheme="minorEastAsia" w:hAnsiTheme="minorEastAsia" w:cstheme="minorEastAsia"/>
                <w:b w:val="0"/>
                <w:bCs/>
                <w:color w:val="auto"/>
                <w:kern w:val="2"/>
                <w:sz w:val="24"/>
                <w:szCs w:val="24"/>
                <w:lang w:val="en-US" w:eastAsia="zh-CN" w:bidi="ar-SA"/>
              </w:rPr>
              <w:t>】，</w:t>
            </w:r>
            <w:r>
              <w:rPr>
                <w:rFonts w:hint="eastAsia" w:asciiTheme="minorEastAsia" w:hAnsiTheme="minorEastAsia" w:eastAsiaTheme="minorEastAsia" w:cstheme="minorEastAsia"/>
                <w:b w:val="0"/>
                <w:bCs/>
                <w:color w:val="auto"/>
                <w:kern w:val="2"/>
                <w:sz w:val="24"/>
                <w:szCs w:val="24"/>
                <w:lang w:val="en-US" w:eastAsia="zh-CN" w:bidi="ar-SA"/>
              </w:rPr>
              <w:t>接到</w:t>
            </w:r>
            <w:r>
              <w:rPr>
                <w:rFonts w:hint="eastAsia" w:asciiTheme="minorEastAsia" w:hAnsiTheme="minorEastAsia" w:cstheme="minorEastAsia"/>
                <w:b w:val="0"/>
                <w:bCs/>
                <w:color w:val="auto"/>
                <w:kern w:val="2"/>
                <w:sz w:val="24"/>
                <w:szCs w:val="24"/>
                <w:lang w:val="en-US" w:eastAsia="zh-CN" w:bidi="ar-SA"/>
              </w:rPr>
              <w:t>成交</w:t>
            </w:r>
            <w:r>
              <w:rPr>
                <w:rFonts w:hint="eastAsia" w:asciiTheme="minorEastAsia" w:hAnsiTheme="minorEastAsia" w:eastAsiaTheme="minorEastAsia" w:cstheme="minorEastAsia"/>
                <w:b w:val="0"/>
                <w:bCs/>
                <w:color w:val="auto"/>
                <w:kern w:val="2"/>
                <w:sz w:val="24"/>
                <w:szCs w:val="24"/>
                <w:lang w:val="en-US" w:eastAsia="zh-CN" w:bidi="ar-SA"/>
              </w:rPr>
              <w:t>通知书后</w:t>
            </w:r>
            <w:r>
              <w:rPr>
                <w:rFonts w:hint="eastAsia" w:asciiTheme="minorEastAsia" w:hAnsiTheme="minorEastAsia" w:cstheme="minorEastAsia"/>
                <w:b w:val="0"/>
                <w:bCs/>
                <w:color w:val="auto"/>
                <w:kern w:val="2"/>
                <w:sz w:val="24"/>
                <w:szCs w:val="24"/>
                <w:u w:val="single"/>
                <w:lang w:val="en-US" w:eastAsia="zh-CN" w:bidi="ar-SA"/>
              </w:rPr>
              <w:t xml:space="preserve">  /  </w:t>
            </w:r>
            <w:r>
              <w:rPr>
                <w:rFonts w:hint="eastAsia" w:asciiTheme="minorEastAsia" w:hAnsiTheme="minorEastAsia" w:eastAsiaTheme="minorEastAsia" w:cstheme="minorEastAsia"/>
                <w:b w:val="0"/>
                <w:bCs/>
                <w:color w:val="auto"/>
                <w:kern w:val="2"/>
                <w:sz w:val="24"/>
                <w:szCs w:val="24"/>
                <w:lang w:val="en-US" w:eastAsia="zh-CN" w:bidi="ar-SA"/>
              </w:rPr>
              <w:t>天内提交。</w:t>
            </w:r>
          </w:p>
        </w:tc>
      </w:tr>
      <w:tr w14:paraId="32A7C9E1">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604"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12124D66">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8</w:t>
            </w:r>
          </w:p>
        </w:tc>
        <w:tc>
          <w:tcPr>
            <w:tcW w:w="1312" w:type="dxa"/>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14:paraId="34F9AD40">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其他要求</w:t>
            </w:r>
          </w:p>
        </w:tc>
        <w:tc>
          <w:tcPr>
            <w:tcW w:w="6450" w:type="dxa"/>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14:paraId="3E1049DE">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rPr>
            </w:pPr>
            <w:r>
              <w:rPr>
                <w:rFonts w:hint="default" w:asciiTheme="minorEastAsia" w:hAnsiTheme="minorEastAsia" w:cstheme="minorEastAsia"/>
                <w:color w:val="auto"/>
                <w:sz w:val="24"/>
                <w:szCs w:val="24"/>
              </w:rPr>
              <w:t>/</w:t>
            </w:r>
          </w:p>
        </w:tc>
      </w:tr>
    </w:tbl>
    <w:p w14:paraId="61EE4A92">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14:paraId="29824E13">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E5AFB0E">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331CBCC9">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5298F75B">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7A50B39F">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205EE97D">
      <w:pPr>
        <w:pStyle w:val="41"/>
        <w:pageBreakBefore w:val="0"/>
        <w:numPr>
          <w:ilvl w:val="0"/>
          <w:numId w:val="0"/>
        </w:numPr>
        <w:kinsoku/>
        <w:wordWrap/>
        <w:overflowPunct/>
        <w:topLinePunct w:val="0"/>
        <w:bidi w:val="0"/>
        <w:spacing w:after="0" w:line="560" w:lineRule="exact"/>
        <w:ind w:leftChars="200"/>
        <w:outlineLvl w:val="1"/>
        <w:rPr>
          <w:rFonts w:hint="eastAsia" w:ascii="楷体" w:hAnsi="楷体" w:eastAsia="楷体" w:cs="楷体"/>
          <w:b/>
          <w:bCs/>
          <w:color w:val="auto"/>
          <w:sz w:val="32"/>
          <w:szCs w:val="32"/>
          <w:lang w:val="en-US" w:eastAsia="zh-CN"/>
        </w:rPr>
      </w:pPr>
      <w:bookmarkStart w:id="94" w:name="_Toc12082"/>
      <w:bookmarkStart w:id="95" w:name="_Toc5971"/>
      <w:r>
        <w:rPr>
          <w:rFonts w:hint="eastAsia" w:ascii="楷体" w:hAnsi="楷体" w:eastAsia="楷体" w:cs="楷体"/>
          <w:b/>
          <w:bCs/>
          <w:color w:val="auto"/>
          <w:sz w:val="32"/>
          <w:szCs w:val="32"/>
          <w:lang w:val="en-US" w:eastAsia="zh-CN"/>
        </w:rPr>
        <w:t>二、技术要求</w:t>
      </w:r>
      <w:bookmarkEnd w:id="94"/>
      <w:bookmarkEnd w:id="95"/>
    </w:p>
    <w:p w14:paraId="35E4D8B7">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按相关法律规章及采购人要求保质保量完成江南宋城历史文化旅游区提升改造一期项目—灯光提升项目招标代理服务工作。</w:t>
      </w:r>
    </w:p>
    <w:p w14:paraId="7AF9D871">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7A040FD">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4F32F60E">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29B0C59">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EE54BE4">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2469CB37">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14:paraId="2101B334">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3267955">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7A5D7C4D">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627AC34F">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14:paraId="1207E18A">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注：以上技术要求必须全部响应。</w:t>
      </w:r>
    </w:p>
    <w:p w14:paraId="2FAD623E">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bookmarkStart w:id="96" w:name="_Toc16173"/>
      <w:bookmarkStart w:id="97" w:name="_Toc31677"/>
    </w:p>
    <w:p w14:paraId="056837A3">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5CB03C97">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03A6541D">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58733779">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6B09155C">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40459697">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37BE5A6C">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57A19CDB">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2CAFECA3">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14:paraId="68EC047F">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1E5CCCBC">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bookmarkStart w:id="98" w:name="_Toc17475"/>
      <w:bookmarkStart w:id="99" w:name="_Toc4091"/>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96"/>
      <w:bookmarkEnd w:id="97"/>
      <w:bookmarkEnd w:id="98"/>
      <w:bookmarkEnd w:id="99"/>
    </w:p>
    <w:p w14:paraId="75AD72FA">
      <w:pPr>
        <w:pStyle w:val="41"/>
        <w:numPr>
          <w:ilvl w:val="0"/>
          <w:numId w:val="0"/>
        </w:numPr>
        <w:ind w:leftChars="400"/>
        <w:rPr>
          <w:rFonts w:hint="eastAsia"/>
          <w:color w:val="auto"/>
        </w:rPr>
      </w:pPr>
    </w:p>
    <w:p w14:paraId="308E7E49">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48581A37">
      <w:pPr>
        <w:pStyle w:val="41"/>
        <w:rPr>
          <w:rFonts w:hint="eastAsia" w:ascii="仿宋_GB2312" w:hAnsi="仿宋_GB2312" w:eastAsia="仿宋_GB2312" w:cs="仿宋_GB2312"/>
          <w:color w:val="auto"/>
          <w:sz w:val="32"/>
          <w:szCs w:val="32"/>
        </w:rPr>
      </w:pPr>
    </w:p>
    <w:p w14:paraId="2A127F53">
      <w:pPr>
        <w:pStyle w:val="40"/>
        <w:rPr>
          <w:rFonts w:hint="eastAsia" w:ascii="仿宋_GB2312" w:hAnsi="仿宋_GB2312" w:eastAsia="仿宋_GB2312" w:cs="仿宋_GB2312"/>
          <w:color w:val="auto"/>
          <w:sz w:val="32"/>
          <w:szCs w:val="32"/>
        </w:rPr>
      </w:pPr>
    </w:p>
    <w:p w14:paraId="7A3D47D4">
      <w:pPr>
        <w:pStyle w:val="19"/>
        <w:rPr>
          <w:rFonts w:hint="eastAsia" w:ascii="仿宋_GB2312" w:hAnsi="仿宋_GB2312" w:eastAsia="仿宋_GB2312" w:cs="仿宋_GB2312"/>
          <w:color w:val="auto"/>
          <w:sz w:val="32"/>
          <w:szCs w:val="32"/>
        </w:rPr>
      </w:pPr>
    </w:p>
    <w:p w14:paraId="7AE6AB9E">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询价</w:t>
      </w:r>
      <w:r>
        <w:rPr>
          <w:rFonts w:hint="eastAsia" w:asciiTheme="majorEastAsia" w:hAnsiTheme="majorEastAsia" w:eastAsiaTheme="majorEastAsia" w:cstheme="majorEastAsia"/>
          <w:color w:val="auto"/>
          <w:sz w:val="84"/>
          <w:szCs w:val="84"/>
        </w:rPr>
        <w:t>响应文件</w:t>
      </w:r>
    </w:p>
    <w:p w14:paraId="3E4539E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153AF626">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14:paraId="1AEB80F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310D785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14:paraId="46E37DC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11EC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lang w:val="en-US" w:eastAsia="zh-CN"/>
        </w:rPr>
        <w:t xml:space="preserve">  江南宋城历史文化旅游区提升改造一期项目—灯光提升项目招标代理服务       </w:t>
      </w:r>
      <w:r>
        <w:rPr>
          <w:rFonts w:hint="eastAsia" w:ascii="仿宋_GB2312" w:hAnsi="仿宋_GB2312" w:eastAsia="仿宋_GB2312" w:cs="仿宋_GB2312"/>
          <w:color w:val="auto"/>
          <w:sz w:val="32"/>
          <w:szCs w:val="32"/>
          <w:lang w:val="en-US" w:eastAsia="zh-CN"/>
        </w:rPr>
        <w:t xml:space="preserve">   </w:t>
      </w:r>
    </w:p>
    <w:p w14:paraId="792565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14:paraId="48E4890D">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7EDC5FA9">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14:paraId="46E3E5AC">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14:paraId="352BA315">
      <w:pPr>
        <w:pStyle w:val="40"/>
        <w:ind w:left="0" w:leftChars="0" w:firstLine="0" w:firstLineChars="0"/>
        <w:rPr>
          <w:rFonts w:hint="eastAsia"/>
          <w:color w:val="auto"/>
        </w:rPr>
      </w:pPr>
    </w:p>
    <w:p w14:paraId="3ED03EC4">
      <w:pPr>
        <w:pStyle w:val="19"/>
        <w:rPr>
          <w:rFonts w:hint="eastAsia"/>
          <w:color w:val="auto"/>
        </w:rPr>
      </w:pPr>
    </w:p>
    <w:p w14:paraId="19517C05">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100" w:name="_Toc15628"/>
      <w:r>
        <w:rPr>
          <w:rFonts w:hint="eastAsia" w:ascii="仿宋_GB2312" w:hAnsi="仿宋_GB2312" w:eastAsia="仿宋_GB2312" w:cs="仿宋_GB2312"/>
          <w:b/>
          <w:bCs/>
          <w:color w:val="auto"/>
          <w:sz w:val="32"/>
          <w:szCs w:val="32"/>
        </w:rPr>
        <w:br w:type="page"/>
      </w:r>
    </w:p>
    <w:p w14:paraId="0F70A8F8">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1" w:name="_Toc225736598"/>
      <w:bookmarkStart w:id="102" w:name="_Toc11675"/>
      <w:bookmarkStart w:id="103" w:name="_Toc30091"/>
      <w:bookmarkStart w:id="104" w:name="_Toc28471"/>
      <w:bookmarkStart w:id="105" w:name="_Toc24735"/>
      <w:r>
        <w:rPr>
          <w:rFonts w:hint="eastAsia" w:ascii="黑体" w:hAnsi="黑体" w:eastAsia="黑体" w:cs="黑体"/>
          <w:b w:val="0"/>
          <w:bCs w:val="0"/>
          <w:color w:val="auto"/>
          <w:sz w:val="32"/>
          <w:szCs w:val="32"/>
          <w:lang w:val="en-US" w:eastAsia="zh-CN"/>
        </w:rPr>
        <w:t>一、询价</w:t>
      </w:r>
      <w:r>
        <w:rPr>
          <w:rFonts w:hint="eastAsia" w:ascii="黑体" w:hAnsi="黑体" w:eastAsia="黑体" w:cs="黑体"/>
          <w:b w:val="0"/>
          <w:bCs w:val="0"/>
          <w:color w:val="auto"/>
          <w:sz w:val="32"/>
          <w:szCs w:val="32"/>
        </w:rPr>
        <w:t>响应</w:t>
      </w:r>
      <w:bookmarkEnd w:id="101"/>
      <w:r>
        <w:rPr>
          <w:rFonts w:hint="eastAsia" w:ascii="黑体" w:hAnsi="黑体" w:eastAsia="黑体" w:cs="黑体"/>
          <w:b w:val="0"/>
          <w:bCs w:val="0"/>
          <w:color w:val="auto"/>
          <w:sz w:val="32"/>
          <w:szCs w:val="32"/>
        </w:rPr>
        <w:t>函</w:t>
      </w:r>
      <w:bookmarkEnd w:id="100"/>
      <w:bookmarkEnd w:id="102"/>
      <w:bookmarkEnd w:id="103"/>
      <w:bookmarkEnd w:id="104"/>
      <w:bookmarkEnd w:id="105"/>
    </w:p>
    <w:p w14:paraId="5338183D">
      <w:pPr>
        <w:pStyle w:val="41"/>
        <w:numPr>
          <w:ilvl w:val="0"/>
          <w:numId w:val="0"/>
        </w:numPr>
        <w:ind w:leftChars="400"/>
        <w:rPr>
          <w:rFonts w:hint="eastAsia"/>
          <w:color w:val="auto"/>
        </w:rPr>
      </w:pPr>
    </w:p>
    <w:p w14:paraId="06666F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赣州宋潮景区管理有限公司</w:t>
      </w:r>
      <w:r>
        <w:rPr>
          <w:rFonts w:hint="eastAsia" w:ascii="仿宋_GB2312" w:hAnsi="仿宋_GB2312" w:eastAsia="仿宋_GB2312" w:cs="仿宋_GB2312"/>
          <w:color w:val="auto"/>
          <w:sz w:val="32"/>
          <w:szCs w:val="32"/>
          <w:u w:val="none"/>
          <w:lang w:val="en-US" w:eastAsia="zh-CN"/>
        </w:rPr>
        <w:t>：</w:t>
      </w:r>
    </w:p>
    <w:p w14:paraId="5686E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color w:val="auto"/>
          <w:sz w:val="32"/>
          <w:szCs w:val="32"/>
          <w:u w:val="single"/>
          <w:lang w:val="en-US" w:eastAsia="zh-CN"/>
        </w:rPr>
        <w:t xml:space="preserve"> 江南宋城历史文化旅游区提升改造一期项目—灯光提升项目招标代理服务        </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14:paraId="433525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14:paraId="158249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14:paraId="1FF9D1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14:paraId="399EA4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14:paraId="437A23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14:paraId="15D045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14:paraId="71ED00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744452C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14:paraId="64F4DB7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14:paraId="493C617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14:paraId="3676DF1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b/>
          <w:bCs/>
          <w:color w:val="auto"/>
          <w:kern w:val="0"/>
          <w:sz w:val="32"/>
          <w:szCs w:val="32"/>
        </w:rPr>
        <w:t>:</w:t>
      </w:r>
    </w:p>
    <w:p w14:paraId="2ACF3E59">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655D1495">
      <w:pPr>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bookmarkStart w:id="106" w:name="_Toc416256689"/>
      <w:bookmarkStart w:id="107" w:name="_Toc225736599"/>
      <w:bookmarkStart w:id="108" w:name="_Toc270413359"/>
    </w:p>
    <w:p w14:paraId="011E524D">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9" w:name="_Toc14308"/>
      <w:bookmarkStart w:id="110" w:name="_Toc476083429"/>
      <w:bookmarkStart w:id="111" w:name="_Toc21293"/>
      <w:bookmarkStart w:id="112" w:name="_Toc21154"/>
      <w:bookmarkStart w:id="113" w:name="_Toc25357"/>
      <w:bookmarkStart w:id="114" w:name="_Toc17630"/>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报价表</w:t>
      </w:r>
      <w:bookmarkEnd w:id="109"/>
      <w:bookmarkEnd w:id="110"/>
      <w:bookmarkEnd w:id="111"/>
      <w:bookmarkEnd w:id="112"/>
      <w:bookmarkEnd w:id="113"/>
      <w:bookmarkEnd w:id="114"/>
    </w:p>
    <w:p w14:paraId="63B72DE6">
      <w:pPr>
        <w:pStyle w:val="41"/>
        <w:numPr>
          <w:ilvl w:val="0"/>
          <w:numId w:val="0"/>
        </w:numPr>
        <w:ind w:leftChars="200"/>
        <w:rPr>
          <w:rFonts w:hint="eastAsia"/>
          <w:color w:val="auto"/>
        </w:rPr>
      </w:pPr>
    </w:p>
    <w:p w14:paraId="081034C9">
      <w:pPr>
        <w:pStyle w:val="19"/>
        <w:pageBreakBefore w:val="0"/>
        <w:kinsoku/>
        <w:wordWrap/>
        <w:overflowPunct/>
        <w:topLinePunct w:val="0"/>
        <w:bidi w:val="0"/>
        <w:spacing w:after="0" w:line="56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sz w:val="32"/>
          <w:szCs w:val="32"/>
          <w:u w:val="single"/>
          <w:lang w:val="en-US" w:eastAsia="zh-CN"/>
        </w:rPr>
        <w:t>赣州宋潮景区管理有限公司</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w:t>
      </w:r>
    </w:p>
    <w:p w14:paraId="3202BD5E">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根据分析计算，现我单位就</w:t>
      </w:r>
      <w:r>
        <w:rPr>
          <w:rFonts w:hint="eastAsia" w:ascii="仿宋_GB2312" w:hAnsi="仿宋_GB2312" w:eastAsia="仿宋_GB2312" w:cs="仿宋_GB2312"/>
          <w:color w:val="auto"/>
          <w:kern w:val="2"/>
          <w:sz w:val="32"/>
          <w:szCs w:val="32"/>
          <w:u w:val="single"/>
          <w:lang w:val="en-US" w:eastAsia="zh-CN" w:bidi="ar-SA"/>
        </w:rPr>
        <w:t>江南宋城历史文化旅游区提升改造一期项目—灯光提升项目招标代理</w:t>
      </w:r>
      <w:r>
        <w:rPr>
          <w:rFonts w:hint="eastAsia" w:ascii="仿宋_GB2312" w:hAnsi="仿宋_GB2312" w:eastAsia="仿宋_GB2312" w:cs="仿宋_GB2312"/>
          <w:color w:val="auto"/>
          <w:kern w:val="2"/>
          <w:sz w:val="32"/>
          <w:szCs w:val="32"/>
          <w:u w:val="single"/>
          <w:lang w:val="en-US" w:eastAsia="zh-CN" w:bidi="ar-SA"/>
        </w:rPr>
        <w:t>服务</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项目招标代理服务费报价如下：</w:t>
      </w:r>
    </w:p>
    <w:p w14:paraId="01239ECB">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我方愿以所招标项目的中标金额为计算基数，按《国家发展改革委关于降低部分建设项目收费标准规范收费行为等有关问题的通知》（发改价格〔2011〕534号）文件分档累进计算，再执行赣市财基字〔2013〕7号文件折扣比例分段累计计取，然后按 </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%（折扣率，精确到小数点后两位）计算招标代理服务费，</w:t>
      </w:r>
      <w:r>
        <w:rPr>
          <w:rFonts w:hint="eastAsia" w:ascii="仿宋_GB2312" w:hAnsi="仿宋_GB2312" w:eastAsia="仿宋_GB2312" w:cs="仿宋_GB2312"/>
          <w:color w:val="FF0000"/>
          <w:kern w:val="2"/>
          <w:sz w:val="32"/>
          <w:szCs w:val="32"/>
          <w:lang w:val="en-US" w:eastAsia="zh-CN" w:bidi="ar-SA"/>
        </w:rPr>
        <w:t>并提供税率为</w:t>
      </w:r>
      <w:r>
        <w:rPr>
          <w:rFonts w:hint="eastAsia" w:ascii="仿宋_GB2312" w:hAnsi="仿宋_GB2312" w:eastAsia="仿宋_GB2312" w:cs="仿宋_GB2312"/>
          <w:color w:val="FF0000"/>
          <w:kern w:val="2"/>
          <w:sz w:val="32"/>
          <w:szCs w:val="32"/>
          <w:u w:val="single"/>
          <w:lang w:val="en-US" w:eastAsia="zh-CN" w:bidi="ar-SA"/>
        </w:rPr>
        <w:t xml:space="preserve">    </w:t>
      </w:r>
      <w:r>
        <w:rPr>
          <w:rFonts w:hint="eastAsia" w:ascii="仿宋_GB2312" w:hAnsi="仿宋_GB2312" w:eastAsia="仿宋_GB2312" w:cs="仿宋_GB2312"/>
          <w:color w:val="FF0000"/>
          <w:kern w:val="2"/>
          <w:sz w:val="32"/>
          <w:szCs w:val="32"/>
          <w:lang w:val="en-US" w:eastAsia="zh-CN" w:bidi="ar-SA"/>
        </w:rPr>
        <w:t>%的增值税专用发票，如遇国家税率调整，以调整后的实际税率为准。</w:t>
      </w:r>
      <w:r>
        <w:rPr>
          <w:rFonts w:hint="eastAsia" w:ascii="仿宋_GB2312" w:hAnsi="仿宋_GB2312" w:eastAsia="仿宋_GB2312" w:cs="仿宋_GB2312"/>
          <w:color w:val="auto"/>
          <w:kern w:val="2"/>
          <w:sz w:val="32"/>
          <w:szCs w:val="32"/>
          <w:lang w:val="en-US" w:eastAsia="zh-CN" w:bidi="ar-SA"/>
        </w:rPr>
        <w:t xml:space="preserve"> </w:t>
      </w:r>
    </w:p>
    <w:p w14:paraId="2E2872B2">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该报价包括但不限于完成询价文件要求全部服务内容所需人员费用、物料、设备、场所、专家评审（招标文件评审、开标评审）、管理费用、利润、税金等一切费用。  </w:t>
      </w:r>
    </w:p>
    <w:p w14:paraId="118EAE65">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14:paraId="21B4333A">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0FBE576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08463C4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EE13C7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7FE662A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4C96D8A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28C9238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签署日期：   年   月   日</w:t>
      </w:r>
    </w:p>
    <w:p w14:paraId="302C4DD8">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bookmarkStart w:id="115" w:name="_Toc10621"/>
      <w:bookmarkStart w:id="116" w:name="_Toc476083430"/>
    </w:p>
    <w:bookmarkEnd w:id="106"/>
    <w:bookmarkEnd w:id="107"/>
    <w:bookmarkEnd w:id="108"/>
    <w:bookmarkEnd w:id="115"/>
    <w:bookmarkEnd w:id="116"/>
    <w:p w14:paraId="0FE72925">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sectPr>
          <w:headerReference r:id="rId3" w:type="default"/>
          <w:footerReference r:id="rId4" w:type="default"/>
          <w:pgSz w:w="11906" w:h="16838"/>
          <w:pgMar w:top="1440" w:right="1800" w:bottom="1440" w:left="1800" w:header="907" w:footer="477" w:gutter="0"/>
          <w:cols w:space="720" w:num="1"/>
          <w:docGrid w:linePitch="312" w:charSpace="0"/>
        </w:sectPr>
      </w:pPr>
      <w:bookmarkStart w:id="117" w:name="_Toc416256692"/>
      <w:bookmarkStart w:id="118" w:name="_Toc372709279"/>
    </w:p>
    <w:bookmarkEnd w:id="117"/>
    <w:bookmarkEnd w:id="118"/>
    <w:p w14:paraId="49CB35EB">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bookmarkStart w:id="119" w:name="_Toc8354"/>
      <w:bookmarkStart w:id="120" w:name="_Toc28265"/>
      <w:bookmarkStart w:id="121" w:name="_Toc26748"/>
      <w:bookmarkStart w:id="122" w:name="_Toc476083434"/>
      <w:bookmarkStart w:id="123" w:name="_Toc5155"/>
      <w:bookmarkStart w:id="124" w:name="_Toc17514"/>
      <w:bookmarkStart w:id="125" w:name="_Toc372709280"/>
      <w:bookmarkStart w:id="126" w:name="_Toc416256693"/>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、法定代表人授权书</w:t>
      </w:r>
      <w:bookmarkEnd w:id="119"/>
      <w:bookmarkEnd w:id="120"/>
      <w:bookmarkEnd w:id="121"/>
      <w:bookmarkEnd w:id="122"/>
      <w:bookmarkEnd w:id="123"/>
      <w:bookmarkEnd w:id="124"/>
    </w:p>
    <w:p w14:paraId="487721B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4772D2C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lang w:val="en-US" w:eastAsia="zh-CN"/>
        </w:rPr>
        <w:t xml:space="preserve"> 赣州宋潮景区管理有限公司  </w:t>
      </w:r>
      <w:r>
        <w:rPr>
          <w:rFonts w:hint="eastAsia" w:ascii="仿宋_GB2312" w:hAnsi="仿宋_GB2312" w:eastAsia="仿宋_GB2312" w:cs="仿宋_GB2312"/>
          <w:color w:val="auto"/>
          <w:sz w:val="32"/>
          <w:szCs w:val="32"/>
        </w:rPr>
        <w:t xml:space="preserve"> </w:t>
      </w:r>
    </w:p>
    <w:p w14:paraId="04E0280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val="0"/>
          <w:bCs w:val="0"/>
          <w:color w:val="auto"/>
          <w:sz w:val="32"/>
          <w:szCs w:val="32"/>
          <w:u w:val="single"/>
          <w:lang w:val="en-US" w:eastAsia="zh-CN"/>
        </w:rPr>
        <w:t>江南宋城历史文化旅游区提升改造一期项目—灯光提升项目招标代理服务</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、签约等具体事务和签署相关文件。</w:t>
      </w:r>
    </w:p>
    <w:p w14:paraId="6BE5A857">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14:paraId="1A08C4D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7F9ABB2D">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14:paraId="55E9CAD0">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1F0545F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14:paraId="69D5CD12">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14:paraId="1BD8A2E3">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08CED0CC">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14:paraId="4C88EAF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14:paraId="2EABBB3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响应，负责提供与签署确认一切文书资料，以及向贵方递交的任何补充承诺。</w:t>
      </w:r>
    </w:p>
    <w:p w14:paraId="0340A0F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有效期相同，自本单位盖公章之日起生效。</w:t>
      </w:r>
    </w:p>
    <w:p w14:paraId="1BDCCF9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14:paraId="511023DB">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0A1FF2D9">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14:paraId="0859C18E">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27"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14:paraId="5BFC26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57359425">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14:paraId="4239091F">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2569CDCD">
            <w:pPr>
              <w:pStyle w:val="2"/>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74927FC1">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72D7E8EE">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655DC5FD">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1DC7400C">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7A2DE33B">
            <w:pPr>
              <w:pStyle w:val="40"/>
              <w:rPr>
                <w:rFonts w:hint="eastAsia"/>
                <w:color w:val="auto"/>
              </w:rPr>
            </w:pPr>
          </w:p>
          <w:p w14:paraId="53BC4391">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255C8616">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114A543">
            <w:pPr>
              <w:pStyle w:val="2"/>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14:paraId="15987A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14:paraId="210DF26E">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14:paraId="432C76F8">
            <w:pPr>
              <w:pStyle w:val="2"/>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342759AB">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64050994">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14:paraId="34777203">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2E8D3F45">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14:paraId="150BC5FE">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0AD26426">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14:paraId="60DA2A88">
            <w:pPr>
              <w:pStyle w:val="2"/>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14:paraId="504665BE">
            <w:pPr>
              <w:rPr>
                <w:rFonts w:hint="eastAsia"/>
                <w:color w:val="auto"/>
              </w:rPr>
            </w:pPr>
          </w:p>
          <w:p w14:paraId="1233C1E8">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14:paraId="28812C6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bookmarkStart w:id="128" w:name="_Toc4521"/>
      <w:bookmarkStart w:id="129" w:name="_Toc29158"/>
      <w:bookmarkStart w:id="130" w:name="_Toc26547"/>
      <w:bookmarkStart w:id="131" w:name="_Toc25009"/>
      <w:bookmarkStart w:id="132" w:name="_Toc14413"/>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highlight w:val="none"/>
        </w:rPr>
        <w:t>商务条款响应/偏离表格式</w:t>
      </w:r>
      <w:bookmarkEnd w:id="128"/>
      <w:bookmarkEnd w:id="129"/>
      <w:bookmarkEnd w:id="130"/>
      <w:bookmarkEnd w:id="131"/>
      <w:bookmarkEnd w:id="132"/>
    </w:p>
    <w:p w14:paraId="699F046B">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江南宋城历史文化旅游区提升改造一期项目—灯光提升项目招标代理服务 </w:t>
      </w:r>
    </w:p>
    <w:p w14:paraId="43749A8E">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33" w:name="_Toc10739"/>
      <w:bookmarkStart w:id="134" w:name="_Toc5289"/>
      <w:bookmarkStart w:id="135" w:name="_Toc29740"/>
      <w:bookmarkStart w:id="136" w:name="_Toc29271"/>
      <w:bookmarkStart w:id="137" w:name="_Toc23737"/>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我公司郑重承诺，完全响应询价文件规定的所有商务要求，并按规定的商务要求进行履约。</w:t>
      </w:r>
      <w:bookmarkEnd w:id="133"/>
      <w:bookmarkEnd w:id="134"/>
      <w:bookmarkEnd w:id="135"/>
      <w:bookmarkEnd w:id="136"/>
      <w:bookmarkEnd w:id="137"/>
    </w:p>
    <w:p w14:paraId="25AB1E56">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14:paraId="671F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69432F34">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14:paraId="0B6AC5FD">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14:paraId="13821826">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14:paraId="3B75C5DE">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0C6D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405DF136">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51C55268">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781810AF">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6826FF73">
            <w:pPr>
              <w:rPr>
                <w:rFonts w:asciiTheme="minorEastAsia" w:hAnsiTheme="minorEastAsia" w:cstheme="minorEastAsia"/>
                <w:color w:val="auto"/>
                <w:sz w:val="24"/>
              </w:rPr>
            </w:pPr>
          </w:p>
        </w:tc>
      </w:tr>
      <w:tr w14:paraId="44D0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5A494746">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7026FE3F">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01136418">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09F87DD8">
            <w:pPr>
              <w:rPr>
                <w:rFonts w:asciiTheme="minorEastAsia" w:hAnsiTheme="minorEastAsia" w:cstheme="minorEastAsia"/>
                <w:color w:val="auto"/>
                <w:sz w:val="24"/>
              </w:rPr>
            </w:pPr>
          </w:p>
        </w:tc>
      </w:tr>
      <w:tr w14:paraId="2EE9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32E2A732">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18B8B481">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416B6E96">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4F2AC544">
            <w:pPr>
              <w:rPr>
                <w:rFonts w:asciiTheme="minorEastAsia" w:hAnsiTheme="minorEastAsia" w:cstheme="minorEastAsia"/>
                <w:color w:val="auto"/>
                <w:sz w:val="24"/>
              </w:rPr>
            </w:pPr>
          </w:p>
        </w:tc>
      </w:tr>
      <w:tr w14:paraId="34CB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2D2194B6">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3F3AB898">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3ADF7731">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1C373DD4">
            <w:pPr>
              <w:rPr>
                <w:rFonts w:asciiTheme="minorEastAsia" w:hAnsiTheme="minorEastAsia" w:cstheme="minorEastAsia"/>
                <w:color w:val="auto"/>
                <w:sz w:val="24"/>
              </w:rPr>
            </w:pPr>
          </w:p>
        </w:tc>
      </w:tr>
      <w:tr w14:paraId="4BD9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270716A7">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04810931">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11741CAF">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388877FC">
            <w:pPr>
              <w:rPr>
                <w:rFonts w:asciiTheme="minorEastAsia" w:hAnsiTheme="minorEastAsia" w:cstheme="minorEastAsia"/>
                <w:color w:val="auto"/>
                <w:sz w:val="24"/>
              </w:rPr>
            </w:pPr>
          </w:p>
        </w:tc>
      </w:tr>
      <w:tr w14:paraId="1068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14:paraId="538DC40B">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14:paraId="58B83E5B">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14:paraId="549802F1">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14:paraId="656C0DF2">
            <w:pPr>
              <w:rPr>
                <w:rFonts w:asciiTheme="minorEastAsia" w:hAnsiTheme="minorEastAsia" w:cstheme="minorEastAsia"/>
                <w:color w:val="auto"/>
                <w:sz w:val="24"/>
              </w:rPr>
            </w:pPr>
          </w:p>
        </w:tc>
      </w:tr>
    </w:tbl>
    <w:p w14:paraId="52159A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56CBBDE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5D1DF8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04FAEE99">
      <w:pPr>
        <w:spacing w:line="480" w:lineRule="auto"/>
        <w:rPr>
          <w:rFonts w:asciiTheme="minorEastAsia" w:hAnsiTheme="minorEastAsia" w:cstheme="minorEastAsia"/>
          <w:color w:val="auto"/>
          <w:sz w:val="24"/>
        </w:rPr>
      </w:pPr>
    </w:p>
    <w:p w14:paraId="7DAEA56D">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23D83F56">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0B468618">
      <w:pPr>
        <w:spacing w:line="360" w:lineRule="auto"/>
        <w:jc w:val="both"/>
        <w:outlineLvl w:val="1"/>
        <w:rPr>
          <w:rFonts w:asciiTheme="minorEastAsia" w:hAnsiTheme="minorEastAsia"/>
          <w:color w:val="auto"/>
          <w:sz w:val="28"/>
          <w:szCs w:val="28"/>
          <w:highlight w:val="none"/>
        </w:rPr>
        <w:sectPr>
          <w:headerReference r:id="rId5" w:type="default"/>
          <w:footerReference r:id="rId6" w:type="default"/>
          <w:pgSz w:w="11906" w:h="16838"/>
          <w:pgMar w:top="1440" w:right="1800" w:bottom="1440" w:left="1800" w:header="907" w:footer="477" w:gutter="0"/>
          <w:cols w:space="720" w:num="1"/>
          <w:docGrid w:linePitch="312" w:charSpace="0"/>
        </w:sectPr>
      </w:pPr>
      <w:bookmarkStart w:id="138" w:name="_Toc23895"/>
      <w:bookmarkStart w:id="139" w:name="_Toc25750"/>
      <w:bookmarkStart w:id="140" w:name="_Toc10413"/>
      <w:bookmarkStart w:id="141" w:name="_Toc13283"/>
      <w:bookmarkStart w:id="142" w:name="_Toc7049"/>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38"/>
      <w:bookmarkEnd w:id="139"/>
      <w:bookmarkEnd w:id="140"/>
      <w:bookmarkEnd w:id="141"/>
      <w:bookmarkEnd w:id="142"/>
    </w:p>
    <w:p w14:paraId="1F6ED68C">
      <w:pPr>
        <w:spacing w:line="500" w:lineRule="exact"/>
        <w:ind w:left="420" w:leftChars="200"/>
        <w:jc w:val="center"/>
        <w:outlineLvl w:val="1"/>
        <w:rPr>
          <w:rFonts w:asciiTheme="minorEastAsia" w:hAnsiTheme="minorEastAsia"/>
          <w:b/>
          <w:bCs/>
          <w:color w:val="auto"/>
          <w:sz w:val="32"/>
          <w:szCs w:val="32"/>
          <w:highlight w:val="none"/>
        </w:rPr>
      </w:pPr>
      <w:bookmarkStart w:id="143" w:name="_Toc29452"/>
      <w:bookmarkStart w:id="144" w:name="_Toc28279"/>
      <w:bookmarkStart w:id="145" w:name="_Toc27927"/>
      <w:bookmarkStart w:id="146" w:name="_Toc5082"/>
      <w:bookmarkStart w:id="147" w:name="_Toc12085"/>
      <w:bookmarkStart w:id="148" w:name="_Toc16500"/>
      <w:bookmarkStart w:id="149" w:name="_Toc13944"/>
      <w:bookmarkStart w:id="150" w:name="_Toc15800"/>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技术要求响应/偏离表格式</w:t>
      </w:r>
      <w:bookmarkEnd w:id="143"/>
      <w:bookmarkEnd w:id="144"/>
      <w:bookmarkEnd w:id="145"/>
      <w:bookmarkEnd w:id="146"/>
      <w:bookmarkEnd w:id="147"/>
      <w:bookmarkEnd w:id="148"/>
      <w:bookmarkEnd w:id="149"/>
      <w:bookmarkEnd w:id="150"/>
    </w:p>
    <w:p w14:paraId="74FA8C3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51"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江南宋城历史文化旅游区提升改造一期项目—灯光提升项目招标代理服务   </w:t>
      </w:r>
    </w:p>
    <w:p w14:paraId="39EE28A9">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52" w:name="_Toc19051"/>
      <w:bookmarkStart w:id="153" w:name="_Toc13306"/>
      <w:bookmarkStart w:id="154" w:name="_Toc21193"/>
      <w:bookmarkStart w:id="155" w:name="_Toc8684"/>
      <w:bookmarkStart w:id="156" w:name="_Toc6583"/>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我公司郑重承诺，完全响应询价文件规定的所有技术要求，并按规定的技术要求进行履约。</w:t>
      </w:r>
      <w:bookmarkEnd w:id="152"/>
      <w:bookmarkEnd w:id="153"/>
      <w:bookmarkEnd w:id="154"/>
      <w:bookmarkEnd w:id="155"/>
      <w:bookmarkEnd w:id="156"/>
    </w:p>
    <w:p w14:paraId="0EF1F5F9">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14:paraId="7858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14:paraId="714623BA">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14:paraId="68B733B1">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14:paraId="73FC6E1D">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14:paraId="1C92B9D6">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14:paraId="1AE1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38CDAB66">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655E2D2B">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45D7A711">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4CB978B9">
            <w:pPr>
              <w:rPr>
                <w:rFonts w:asciiTheme="minorEastAsia" w:hAnsiTheme="minorEastAsia" w:cstheme="minorEastAsia"/>
                <w:color w:val="auto"/>
                <w:sz w:val="24"/>
              </w:rPr>
            </w:pPr>
          </w:p>
        </w:tc>
      </w:tr>
      <w:tr w14:paraId="038E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1BAB68BC">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73C8B42B">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74122B65">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0C18A8F3">
            <w:pPr>
              <w:rPr>
                <w:rFonts w:asciiTheme="minorEastAsia" w:hAnsiTheme="minorEastAsia" w:cstheme="minorEastAsia"/>
                <w:color w:val="auto"/>
                <w:sz w:val="24"/>
              </w:rPr>
            </w:pPr>
          </w:p>
        </w:tc>
      </w:tr>
      <w:tr w14:paraId="5058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534DA76D">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14:paraId="45DF4640">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0E35E0A5">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6E52B13E">
            <w:pPr>
              <w:rPr>
                <w:rFonts w:asciiTheme="minorEastAsia" w:hAnsiTheme="minorEastAsia" w:cstheme="minorEastAsia"/>
                <w:color w:val="auto"/>
                <w:sz w:val="24"/>
              </w:rPr>
            </w:pPr>
          </w:p>
        </w:tc>
      </w:tr>
      <w:tr w14:paraId="38FE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49060018">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4D5BEE9F">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08AD34FE">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30F1858B">
            <w:pPr>
              <w:rPr>
                <w:rFonts w:asciiTheme="minorEastAsia" w:hAnsiTheme="minorEastAsia" w:cstheme="minorEastAsia"/>
                <w:color w:val="auto"/>
                <w:sz w:val="24"/>
              </w:rPr>
            </w:pPr>
          </w:p>
        </w:tc>
      </w:tr>
      <w:tr w14:paraId="5E8C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00CA8855">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2DEE41E0">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6BBEC973">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0BEA1EAF">
            <w:pPr>
              <w:rPr>
                <w:rFonts w:asciiTheme="minorEastAsia" w:hAnsiTheme="minorEastAsia" w:cstheme="minorEastAsia"/>
                <w:color w:val="auto"/>
                <w:sz w:val="24"/>
              </w:rPr>
            </w:pPr>
          </w:p>
        </w:tc>
      </w:tr>
      <w:tr w14:paraId="73FB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14:paraId="2B81A970">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14:paraId="61808C83">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14:paraId="0D0293A6">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14:paraId="24A5B01F">
            <w:pPr>
              <w:rPr>
                <w:rFonts w:asciiTheme="minorEastAsia" w:hAnsiTheme="minorEastAsia" w:cstheme="minorEastAsia"/>
                <w:color w:val="auto"/>
                <w:sz w:val="24"/>
              </w:rPr>
            </w:pPr>
          </w:p>
        </w:tc>
      </w:tr>
    </w:tbl>
    <w:p w14:paraId="0979504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14:paraId="4527B7B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14:paraId="6D75C51E">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14:paraId="16BFFA13">
      <w:pPr>
        <w:pStyle w:val="3"/>
        <w:numPr>
          <w:ilvl w:val="1"/>
          <w:numId w:val="0"/>
        </w:numPr>
        <w:ind w:leftChars="0"/>
        <w:outlineLvl w:val="9"/>
        <w:rPr>
          <w:color w:val="auto"/>
        </w:rPr>
      </w:pPr>
    </w:p>
    <w:p w14:paraId="46B8B5F4">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14:paraId="69D754C8">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14:paraId="595AAF6D">
      <w:pPr>
        <w:pStyle w:val="40"/>
        <w:ind w:left="0"/>
        <w:rPr>
          <w:rFonts w:hint="eastAsia"/>
          <w:color w:val="auto"/>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51"/>
    </w:p>
    <w:bookmarkEnd w:id="125"/>
    <w:bookmarkEnd w:id="126"/>
    <w:bookmarkEnd w:id="127"/>
    <w:p w14:paraId="21699F38">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bookmarkStart w:id="157" w:name="_Toc4974"/>
      <w:bookmarkStart w:id="158" w:name="_Toc1799401247"/>
      <w:bookmarkStart w:id="159" w:name="_Toc23263"/>
      <w:bookmarkStart w:id="160" w:name="_Toc8075"/>
      <w:bookmarkStart w:id="161" w:name="_Toc20187"/>
      <w:bookmarkStart w:id="162" w:name="_Toc12458"/>
      <w:bookmarkStart w:id="163" w:name="_Toc25170"/>
      <w:bookmarkStart w:id="164" w:name="_Toc1723323091"/>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资格证明材料</w:t>
      </w:r>
      <w:bookmarkEnd w:id="157"/>
      <w:bookmarkEnd w:id="158"/>
      <w:bookmarkEnd w:id="159"/>
      <w:bookmarkEnd w:id="160"/>
      <w:bookmarkEnd w:id="161"/>
      <w:bookmarkEnd w:id="162"/>
      <w:bookmarkEnd w:id="163"/>
      <w:bookmarkEnd w:id="164"/>
    </w:p>
    <w:p w14:paraId="7E9DA656">
      <w:pPr>
        <w:pStyle w:val="4"/>
        <w:pageBreakBefore w:val="0"/>
        <w:numPr>
          <w:ilvl w:val="2"/>
          <w:numId w:val="0"/>
        </w:numPr>
        <w:kinsoku/>
        <w:wordWrap/>
        <w:overflowPunct/>
        <w:topLinePunct w:val="0"/>
        <w:bidi w:val="0"/>
        <w:spacing w:before="0" w:after="0" w:line="560" w:lineRule="exact"/>
        <w:outlineLvl w:val="9"/>
        <w:rPr>
          <w:rFonts w:hint="eastAsia" w:ascii="仿宋_GB2312" w:hAnsi="仿宋_GB2312" w:eastAsia="仿宋_GB2312" w:cs="仿宋_GB2312"/>
          <w:color w:val="auto"/>
          <w:sz w:val="32"/>
          <w:szCs w:val="32"/>
        </w:rPr>
      </w:pPr>
      <w:bookmarkStart w:id="165" w:name="_Toc1765"/>
      <w:bookmarkStart w:id="166" w:name="_Toc22529"/>
      <w:bookmarkStart w:id="167" w:name="_Toc779243348"/>
    </w:p>
    <w:p w14:paraId="59AC44B6">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65"/>
      <w:bookmarkEnd w:id="166"/>
      <w:bookmarkEnd w:id="167"/>
      <w:r>
        <w:rPr>
          <w:rFonts w:hint="eastAsia" w:ascii="楷体" w:hAnsi="楷体" w:eastAsia="楷体" w:cs="楷体"/>
          <w:color w:val="auto"/>
          <w:sz w:val="32"/>
          <w:szCs w:val="32"/>
          <w:lang w:val="en-US" w:eastAsia="zh-CN"/>
        </w:rPr>
        <w:t>等相关资格证明材料</w:t>
      </w:r>
    </w:p>
    <w:p w14:paraId="159A41AE">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bookmarkStart w:id="168" w:name="_Toc262628298"/>
      <w:bookmarkStart w:id="169" w:name="_Toc262628299"/>
      <w:r>
        <w:rPr>
          <w:rFonts w:hint="eastAsia" w:ascii="仿宋_GB2312" w:hAnsi="仿宋_GB2312" w:eastAsia="仿宋_GB2312" w:cs="仿宋_GB2312"/>
          <w:color w:val="auto"/>
          <w:sz w:val="32"/>
          <w:szCs w:val="32"/>
          <w:lang w:val="en-US" w:eastAsia="zh-CN"/>
        </w:rPr>
        <w:t>提供证明材料复印件并加盖公章</w:t>
      </w:r>
      <w:r>
        <w:rPr>
          <w:rFonts w:hint="eastAsia" w:ascii="仿宋_GB2312" w:hAnsi="仿宋_GB2312" w:eastAsia="仿宋_GB2312" w:cs="仿宋_GB2312"/>
          <w:color w:val="auto"/>
          <w:sz w:val="32"/>
          <w:szCs w:val="32"/>
        </w:rPr>
        <w:br w:type="page"/>
      </w:r>
    </w:p>
    <w:p w14:paraId="6BB326DB">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70"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68"/>
      <w:r>
        <w:rPr>
          <w:rFonts w:hint="eastAsia" w:ascii="楷体" w:hAnsi="楷体" w:eastAsia="楷体" w:cs="楷体"/>
          <w:color w:val="auto"/>
          <w:sz w:val="32"/>
          <w:szCs w:val="32"/>
        </w:rPr>
        <w:t>承诺函</w:t>
      </w:r>
      <w:bookmarkEnd w:id="169"/>
      <w:bookmarkEnd w:id="170"/>
    </w:p>
    <w:p w14:paraId="54CF084B">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14:paraId="2F2ACB71">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本公司郑重承诺，本公司为参加采购活动的合格供应商，同时满足以下条件： </w:t>
      </w:r>
    </w:p>
    <w:p w14:paraId="0103F8A3">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14:paraId="726BEF1A">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14:paraId="2B04441E">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14:paraId="67949A0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14:paraId="1BF31B2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14:paraId="44834752">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6.完全响应公开询价采购文件中的商务要求及技术要求。</w:t>
      </w:r>
    </w:p>
    <w:p w14:paraId="677FDD6D">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14:paraId="259DE1F9">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bookmarkStart w:id="173" w:name="_GoBack"/>
      <w:bookmarkEnd w:id="173"/>
    </w:p>
    <w:p w14:paraId="7531D79B">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14:paraId="2DC086FD">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14:paraId="3CBFB7F2">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06DD4911">
      <w:pPr>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br w:type="page"/>
      </w:r>
    </w:p>
    <w:p w14:paraId="4768F247">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1" w:name="_Toc16168"/>
      <w:bookmarkStart w:id="172" w:name="_Toc24860"/>
      <w:r>
        <w:rPr>
          <w:rFonts w:hint="eastAsia" w:ascii="楷体" w:hAnsi="楷体" w:eastAsia="楷体" w:cs="楷体"/>
          <w:color w:val="auto"/>
          <w:sz w:val="32"/>
          <w:szCs w:val="32"/>
          <w:lang w:val="en-US" w:eastAsia="zh-CN"/>
        </w:rPr>
        <w:t>格式6-3 其他材料</w:t>
      </w:r>
      <w:bookmarkEnd w:id="171"/>
      <w:bookmarkEnd w:id="172"/>
    </w:p>
    <w:p w14:paraId="7976DA7C">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提供相关材料复印件并加盖公章</w:t>
      </w:r>
    </w:p>
    <w:p w14:paraId="116576A7">
      <w:pPr>
        <w:pStyle w:val="5"/>
        <w:rPr>
          <w:rFonts w:hint="eastAsia"/>
          <w:color w:val="auto"/>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hakuyoxingshu7000"/>
    <w:panose1 w:val="00000000000000000000"/>
    <w:charset w:val="00"/>
    <w:family w:val="roman"/>
    <w:pitch w:val="default"/>
    <w:sig w:usb0="00000000" w:usb1="00000000" w:usb2="00000000" w:usb3="00000000" w:csb0="00040001" w:csb1="00000000"/>
  </w:font>
  <w:font w:name="serif">
    <w:altName w:val="Times New Roman"/>
    <w:panose1 w:val="00000000000000000000"/>
    <w:charset w:val="00"/>
    <w:family w:val="auto"/>
    <w:pitch w:val="default"/>
    <w:sig w:usb0="00000000" w:usb1="00000000" w:usb2="00000000" w:usb3="00000000" w:csb0="00000000" w:csb1="00000000"/>
  </w:font>
  <w:font w:name="_x000B__x000C_">
    <w:altName w:val="hakuyoxingshu7000"/>
    <w:panose1 w:val="00000000000000000000"/>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ヒラギノ角ゴ Pro W3">
    <w:altName w:val="hakuyoxingshu7000"/>
    <w:panose1 w:val="020B0300000000000000"/>
    <w:charset w:val="80"/>
    <w:family w:val="roman"/>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CS?o｡ﾀ?">
    <w:altName w:val="MS Mincho"/>
    <w:panose1 w:val="00000000000000000000"/>
    <w:charset w:val="80"/>
    <w:family w:val="swiss"/>
    <w:pitch w:val="default"/>
    <w:sig w:usb0="00000000" w:usb1="00000000" w:usb2="00000010" w:usb3="00000000" w:csb0="0002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00642">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1935D">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401935D">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25DA4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7EBE">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D772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5D7727">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53E555E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3FC06">
    <w:pPr>
      <w:pStyle w:val="31"/>
      <w:pBdr>
        <w:bottom w:val="none" w:color="auto" w:sz="0" w:space="0"/>
      </w:pBdr>
      <w:jc w:val="both"/>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FD7A">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vlJc w:val="left"/>
      <w:pPr>
        <w:ind w:left="0" w:firstLine="0"/>
      </w:pPr>
      <w:rPr>
        <w:rFonts w:hint="eastAsia" w:ascii="黑体" w:eastAsia="黑体"/>
        <w:b w:val="0"/>
        <w:i w:val="0"/>
        <w:sz w:val="24"/>
      </w:rPr>
    </w:lvl>
    <w:lvl w:ilvl="1" w:tentative="0">
      <w:start w:val="1"/>
      <w:numFmt w:val="decimal"/>
      <w:pStyle w:val="3"/>
      <w:lvlText w:val="%1.%2"/>
      <w:lvlJc w:val="left"/>
      <w:pPr>
        <w:ind w:left="0" w:firstLine="0"/>
      </w:pPr>
      <w:rPr>
        <w:rFonts w:hint="eastAsia" w:ascii="黑体" w:eastAsia="黑体"/>
        <w:b w:val="0"/>
        <w:i w:val="0"/>
        <w:sz w:val="24"/>
      </w:rPr>
    </w:lvl>
    <w:lvl w:ilvl="2" w:tentative="0">
      <w:start w:val="1"/>
      <w:numFmt w:val="decimal"/>
      <w:pStyle w:val="4"/>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7"/>
      <w:lvlText w:val="%1.%2.%3.%4.%5"/>
      <w:lvlJc w:val="left"/>
      <w:pPr>
        <w:ind w:left="0" w:firstLine="0"/>
      </w:pPr>
      <w:rPr>
        <w:rFonts w:hint="eastAsia" w:ascii="黑体" w:eastAsia="黑体"/>
        <w:b w:val="0"/>
        <w:i w:val="0"/>
        <w:sz w:val="24"/>
      </w:rPr>
    </w:lvl>
    <w:lvl w:ilvl="5" w:tentative="0">
      <w:start w:val="1"/>
      <w:numFmt w:val="decimal"/>
      <w:pStyle w:val="8"/>
      <w:lvlText w:val="%1.%2.%3.%4.%5.%6"/>
      <w:lvlJc w:val="left"/>
      <w:pPr>
        <w:ind w:left="0" w:firstLine="0"/>
      </w:pPr>
      <w:rPr>
        <w:rFonts w:hint="eastAsia" w:ascii="黑体" w:eastAsia="黑体"/>
        <w:b w:val="0"/>
        <w:i w:val="0"/>
        <w:sz w:val="24"/>
      </w:rPr>
    </w:lvl>
    <w:lvl w:ilvl="6" w:tentative="0">
      <w:start w:val="1"/>
      <w:numFmt w:val="decimal"/>
      <w:pStyle w:val="9"/>
      <w:lvlText w:val="（%7）"/>
      <w:lvlJc w:val="left"/>
      <w:pPr>
        <w:ind w:left="1191" w:firstLine="0"/>
      </w:pPr>
      <w:rPr>
        <w:rFonts w:hint="eastAsia" w:ascii="黑体" w:eastAsia="黑体"/>
        <w:b w:val="0"/>
        <w:i w:val="0"/>
        <w:sz w:val="24"/>
      </w:rPr>
    </w:lvl>
    <w:lvl w:ilvl="7" w:tentative="0">
      <w:start w:val="1"/>
      <w:numFmt w:val="lowerLetter"/>
      <w:pStyle w:val="10"/>
      <w:lvlText w:val="（%8）"/>
      <w:lvlJc w:val="left"/>
      <w:pPr>
        <w:ind w:left="1888" w:firstLine="0"/>
      </w:pPr>
      <w:rPr>
        <w:rFonts w:hint="eastAsia" w:ascii="黑体" w:eastAsia="黑体"/>
        <w:b w:val="0"/>
        <w:i w:val="0"/>
        <w:sz w:val="24"/>
      </w:rPr>
    </w:lvl>
    <w:lvl w:ilvl="8" w:tentative="0">
      <w:start w:val="1"/>
      <w:numFmt w:val="lowerRoman"/>
      <w:pStyle w:val="11"/>
      <w:lvlText w:val="（%9）"/>
      <w:lvlJc w:val="left"/>
      <w:pPr>
        <w:ind w:left="2591" w:firstLine="0"/>
      </w:pPr>
      <w:rPr>
        <w:rFonts w:hint="eastAsia" w:ascii="黑体" w:eastAsia="黑体"/>
        <w:b w:val="0"/>
        <w:i w:val="0"/>
        <w:sz w:val="24"/>
      </w:rPr>
    </w:lvl>
  </w:abstractNum>
  <w:abstractNum w:abstractNumId="1">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3">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4">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7">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1"/>
  </w:num>
  <w:num w:numId="4">
    <w:abstractNumId w:val="7"/>
  </w:num>
  <w:num w:numId="5">
    <w:abstractNumId w:val="8"/>
  </w:num>
  <w:num w:numId="6">
    <w:abstractNumId w:val="2"/>
  </w:num>
  <w:num w:numId="7">
    <w:abstractNumId w:val="4"/>
  </w:num>
  <w:num w:numId="8">
    <w:abstractNumId w:val="3"/>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
    <w15:presenceInfo w15:providerId="None" w15:userId="z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4MWQ3OTQ2NmJhMTE1NmExYTU5ZGVmOWQ1ODE1YWEifQ=="/>
  </w:docVars>
  <w:rsids>
    <w:rsidRoot w:val="00172A2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741627"/>
    <w:rsid w:val="01C45FB2"/>
    <w:rsid w:val="02201700"/>
    <w:rsid w:val="022516EE"/>
    <w:rsid w:val="028757F6"/>
    <w:rsid w:val="03D37BE8"/>
    <w:rsid w:val="03D80B70"/>
    <w:rsid w:val="04194672"/>
    <w:rsid w:val="0476084B"/>
    <w:rsid w:val="04B362BD"/>
    <w:rsid w:val="04C36CF7"/>
    <w:rsid w:val="059D642C"/>
    <w:rsid w:val="05B54ACB"/>
    <w:rsid w:val="05BE4FDC"/>
    <w:rsid w:val="063C750A"/>
    <w:rsid w:val="065979A5"/>
    <w:rsid w:val="065D4EA4"/>
    <w:rsid w:val="06777F94"/>
    <w:rsid w:val="0792397C"/>
    <w:rsid w:val="084762C4"/>
    <w:rsid w:val="08481860"/>
    <w:rsid w:val="086777B2"/>
    <w:rsid w:val="08760957"/>
    <w:rsid w:val="088A04AD"/>
    <w:rsid w:val="0943622A"/>
    <w:rsid w:val="09762B05"/>
    <w:rsid w:val="09BA442F"/>
    <w:rsid w:val="0A0D09B2"/>
    <w:rsid w:val="0AC76A3C"/>
    <w:rsid w:val="0AEE4994"/>
    <w:rsid w:val="0B0033E1"/>
    <w:rsid w:val="0B2048FA"/>
    <w:rsid w:val="0B84779F"/>
    <w:rsid w:val="0BEC4E70"/>
    <w:rsid w:val="0BF60407"/>
    <w:rsid w:val="0C075C30"/>
    <w:rsid w:val="0C0A78AA"/>
    <w:rsid w:val="0C0D7C2A"/>
    <w:rsid w:val="0C2B3BF7"/>
    <w:rsid w:val="0C672EED"/>
    <w:rsid w:val="0C985DB0"/>
    <w:rsid w:val="0CA16567"/>
    <w:rsid w:val="0D0654E0"/>
    <w:rsid w:val="0D9210DF"/>
    <w:rsid w:val="0DC34C5E"/>
    <w:rsid w:val="0E2D4BC1"/>
    <w:rsid w:val="0EDF4FA9"/>
    <w:rsid w:val="0F067D8E"/>
    <w:rsid w:val="0F3D1A56"/>
    <w:rsid w:val="0F413D01"/>
    <w:rsid w:val="0F532FEC"/>
    <w:rsid w:val="0F7C743D"/>
    <w:rsid w:val="0F7E028F"/>
    <w:rsid w:val="0FCB0B5F"/>
    <w:rsid w:val="1006256B"/>
    <w:rsid w:val="10255BD3"/>
    <w:rsid w:val="106F440E"/>
    <w:rsid w:val="111C3138"/>
    <w:rsid w:val="11415D73"/>
    <w:rsid w:val="117B2658"/>
    <w:rsid w:val="118B6D91"/>
    <w:rsid w:val="119F1826"/>
    <w:rsid w:val="11C81206"/>
    <w:rsid w:val="12036651"/>
    <w:rsid w:val="12106C52"/>
    <w:rsid w:val="12CB5648"/>
    <w:rsid w:val="12D55F95"/>
    <w:rsid w:val="12E81074"/>
    <w:rsid w:val="131A1D49"/>
    <w:rsid w:val="132018DB"/>
    <w:rsid w:val="13615395"/>
    <w:rsid w:val="138D7E8E"/>
    <w:rsid w:val="13B114C8"/>
    <w:rsid w:val="13F16BE3"/>
    <w:rsid w:val="141C6857"/>
    <w:rsid w:val="14DD097C"/>
    <w:rsid w:val="15001A1F"/>
    <w:rsid w:val="157F5315"/>
    <w:rsid w:val="15BF632A"/>
    <w:rsid w:val="15CD71BF"/>
    <w:rsid w:val="15EE1F4D"/>
    <w:rsid w:val="16041106"/>
    <w:rsid w:val="16103B4A"/>
    <w:rsid w:val="166240F0"/>
    <w:rsid w:val="16813738"/>
    <w:rsid w:val="169F7AA4"/>
    <w:rsid w:val="16A3210E"/>
    <w:rsid w:val="16D37F64"/>
    <w:rsid w:val="174F4263"/>
    <w:rsid w:val="175C767E"/>
    <w:rsid w:val="17601520"/>
    <w:rsid w:val="176F1205"/>
    <w:rsid w:val="17AC1A2B"/>
    <w:rsid w:val="17B07441"/>
    <w:rsid w:val="17B168D9"/>
    <w:rsid w:val="17CE179F"/>
    <w:rsid w:val="181F4118"/>
    <w:rsid w:val="186A1522"/>
    <w:rsid w:val="18F22030"/>
    <w:rsid w:val="18F80513"/>
    <w:rsid w:val="194E656C"/>
    <w:rsid w:val="19CB6596"/>
    <w:rsid w:val="1A5E246E"/>
    <w:rsid w:val="1A8F0EAD"/>
    <w:rsid w:val="1AB632CA"/>
    <w:rsid w:val="1ADA497A"/>
    <w:rsid w:val="1B5503D1"/>
    <w:rsid w:val="1BA301FC"/>
    <w:rsid w:val="1BC70E78"/>
    <w:rsid w:val="1BFFBE4E"/>
    <w:rsid w:val="1C6B5E93"/>
    <w:rsid w:val="1CAFB528"/>
    <w:rsid w:val="1EC973FC"/>
    <w:rsid w:val="1F315492"/>
    <w:rsid w:val="1FB673E5"/>
    <w:rsid w:val="1FD357A8"/>
    <w:rsid w:val="204875B8"/>
    <w:rsid w:val="20DC4047"/>
    <w:rsid w:val="21001DC0"/>
    <w:rsid w:val="213622DE"/>
    <w:rsid w:val="2188137C"/>
    <w:rsid w:val="21900862"/>
    <w:rsid w:val="21D917BA"/>
    <w:rsid w:val="21EC1F70"/>
    <w:rsid w:val="228779A5"/>
    <w:rsid w:val="22A7481F"/>
    <w:rsid w:val="22D65D7F"/>
    <w:rsid w:val="23C354CD"/>
    <w:rsid w:val="24090C8B"/>
    <w:rsid w:val="251B0465"/>
    <w:rsid w:val="25D7414B"/>
    <w:rsid w:val="25E445ED"/>
    <w:rsid w:val="25E93F48"/>
    <w:rsid w:val="26405E2F"/>
    <w:rsid w:val="264B5418"/>
    <w:rsid w:val="26907163"/>
    <w:rsid w:val="27467D65"/>
    <w:rsid w:val="27996DAD"/>
    <w:rsid w:val="279A455A"/>
    <w:rsid w:val="27CD5F9B"/>
    <w:rsid w:val="27FFF306"/>
    <w:rsid w:val="28025D57"/>
    <w:rsid w:val="28130D87"/>
    <w:rsid w:val="28A307E3"/>
    <w:rsid w:val="2952297B"/>
    <w:rsid w:val="296C5733"/>
    <w:rsid w:val="29F63590"/>
    <w:rsid w:val="29FC4FE3"/>
    <w:rsid w:val="2A2402B3"/>
    <w:rsid w:val="2A2A7B29"/>
    <w:rsid w:val="2A857AE7"/>
    <w:rsid w:val="2B0D6AA1"/>
    <w:rsid w:val="2B1451EB"/>
    <w:rsid w:val="2B7C5D72"/>
    <w:rsid w:val="2B8579C7"/>
    <w:rsid w:val="2BF21406"/>
    <w:rsid w:val="2C5A5295"/>
    <w:rsid w:val="2C5B4D08"/>
    <w:rsid w:val="2C7F365A"/>
    <w:rsid w:val="2CBB7E04"/>
    <w:rsid w:val="2CFD6B14"/>
    <w:rsid w:val="2DFD0037"/>
    <w:rsid w:val="2DFD2F84"/>
    <w:rsid w:val="2E715669"/>
    <w:rsid w:val="2E8379D1"/>
    <w:rsid w:val="2EBEC535"/>
    <w:rsid w:val="2ED354FD"/>
    <w:rsid w:val="2EDB55F4"/>
    <w:rsid w:val="2F3F537A"/>
    <w:rsid w:val="302C34F5"/>
    <w:rsid w:val="306748CB"/>
    <w:rsid w:val="31310E50"/>
    <w:rsid w:val="31BF110F"/>
    <w:rsid w:val="324F2E62"/>
    <w:rsid w:val="3285203F"/>
    <w:rsid w:val="329E62B0"/>
    <w:rsid w:val="32CC11BB"/>
    <w:rsid w:val="3322639E"/>
    <w:rsid w:val="3334643D"/>
    <w:rsid w:val="33F07EC7"/>
    <w:rsid w:val="33FD03FF"/>
    <w:rsid w:val="3409300E"/>
    <w:rsid w:val="341A4018"/>
    <w:rsid w:val="34F6560C"/>
    <w:rsid w:val="350C2EB6"/>
    <w:rsid w:val="354D144E"/>
    <w:rsid w:val="35594E9A"/>
    <w:rsid w:val="35B23CF5"/>
    <w:rsid w:val="35C463AA"/>
    <w:rsid w:val="364A2A6F"/>
    <w:rsid w:val="366C4C73"/>
    <w:rsid w:val="367F4CF7"/>
    <w:rsid w:val="368477DB"/>
    <w:rsid w:val="36F60BA5"/>
    <w:rsid w:val="37BF31DD"/>
    <w:rsid w:val="37EB8BD4"/>
    <w:rsid w:val="38A77ED7"/>
    <w:rsid w:val="38C518A2"/>
    <w:rsid w:val="38CD6FBB"/>
    <w:rsid w:val="38E11F84"/>
    <w:rsid w:val="39271F6A"/>
    <w:rsid w:val="39B15CE7"/>
    <w:rsid w:val="3A093F62"/>
    <w:rsid w:val="3A2E3B66"/>
    <w:rsid w:val="3A8A77C7"/>
    <w:rsid w:val="3A8D7C31"/>
    <w:rsid w:val="3AB40D45"/>
    <w:rsid w:val="3ADE2CD9"/>
    <w:rsid w:val="3AFF3D8A"/>
    <w:rsid w:val="3B5B4819"/>
    <w:rsid w:val="3BCA015B"/>
    <w:rsid w:val="3BD70AEC"/>
    <w:rsid w:val="3BE503B9"/>
    <w:rsid w:val="3C246BB4"/>
    <w:rsid w:val="3C270443"/>
    <w:rsid w:val="3C9748D5"/>
    <w:rsid w:val="3CF36493"/>
    <w:rsid w:val="3D231C06"/>
    <w:rsid w:val="3D4723EC"/>
    <w:rsid w:val="3D4B775C"/>
    <w:rsid w:val="3D512C82"/>
    <w:rsid w:val="3DAE74D9"/>
    <w:rsid w:val="3DB22C19"/>
    <w:rsid w:val="3DBE55E1"/>
    <w:rsid w:val="3DD75419"/>
    <w:rsid w:val="3E012496"/>
    <w:rsid w:val="3E0F18FE"/>
    <w:rsid w:val="3E8166FF"/>
    <w:rsid w:val="3E9B4C17"/>
    <w:rsid w:val="3EB3269B"/>
    <w:rsid w:val="3EE21F17"/>
    <w:rsid w:val="3EF579CA"/>
    <w:rsid w:val="3F11495A"/>
    <w:rsid w:val="3F1E3477"/>
    <w:rsid w:val="3F266F69"/>
    <w:rsid w:val="3F6A3DDE"/>
    <w:rsid w:val="3F9D5153"/>
    <w:rsid w:val="3FBB0EBF"/>
    <w:rsid w:val="3FBFA6C6"/>
    <w:rsid w:val="400678B1"/>
    <w:rsid w:val="40700EAB"/>
    <w:rsid w:val="407F6FD6"/>
    <w:rsid w:val="40852726"/>
    <w:rsid w:val="409C31E0"/>
    <w:rsid w:val="40BE0358"/>
    <w:rsid w:val="413B71DD"/>
    <w:rsid w:val="415E36CB"/>
    <w:rsid w:val="417D2F94"/>
    <w:rsid w:val="41924783"/>
    <w:rsid w:val="419A6740"/>
    <w:rsid w:val="41DC6EFA"/>
    <w:rsid w:val="422A3A4F"/>
    <w:rsid w:val="42540FB7"/>
    <w:rsid w:val="426C746E"/>
    <w:rsid w:val="43112B98"/>
    <w:rsid w:val="43251552"/>
    <w:rsid w:val="43427FC0"/>
    <w:rsid w:val="43A05886"/>
    <w:rsid w:val="43B95E86"/>
    <w:rsid w:val="43CD6C6D"/>
    <w:rsid w:val="43E50640"/>
    <w:rsid w:val="44C56CB4"/>
    <w:rsid w:val="44EC357A"/>
    <w:rsid w:val="44F23A49"/>
    <w:rsid w:val="45592A04"/>
    <w:rsid w:val="456D24F5"/>
    <w:rsid w:val="45F37365"/>
    <w:rsid w:val="46493D40"/>
    <w:rsid w:val="464D27B1"/>
    <w:rsid w:val="46583646"/>
    <w:rsid w:val="4735772C"/>
    <w:rsid w:val="47521EC8"/>
    <w:rsid w:val="47766BCE"/>
    <w:rsid w:val="47F20463"/>
    <w:rsid w:val="48047FBC"/>
    <w:rsid w:val="4809339B"/>
    <w:rsid w:val="4836665C"/>
    <w:rsid w:val="48464588"/>
    <w:rsid w:val="48AE0993"/>
    <w:rsid w:val="48AE0A27"/>
    <w:rsid w:val="48F2506E"/>
    <w:rsid w:val="48F615B0"/>
    <w:rsid w:val="490B1EA1"/>
    <w:rsid w:val="49676E57"/>
    <w:rsid w:val="49B712B0"/>
    <w:rsid w:val="4A347A7D"/>
    <w:rsid w:val="4A367536"/>
    <w:rsid w:val="4B63653E"/>
    <w:rsid w:val="4BA744DE"/>
    <w:rsid w:val="4C0300C2"/>
    <w:rsid w:val="4C523EF6"/>
    <w:rsid w:val="4CB02FFC"/>
    <w:rsid w:val="4CCC37C1"/>
    <w:rsid w:val="4CD55435"/>
    <w:rsid w:val="4D0061F0"/>
    <w:rsid w:val="4D3C7845"/>
    <w:rsid w:val="4DFA15D5"/>
    <w:rsid w:val="4DFB0D8E"/>
    <w:rsid w:val="4E3213EC"/>
    <w:rsid w:val="4E992FB2"/>
    <w:rsid w:val="4EA1059E"/>
    <w:rsid w:val="4F351D2D"/>
    <w:rsid w:val="4F626DBD"/>
    <w:rsid w:val="4F806713"/>
    <w:rsid w:val="4F8C6959"/>
    <w:rsid w:val="4F8E5176"/>
    <w:rsid w:val="4F920EE8"/>
    <w:rsid w:val="4F934F18"/>
    <w:rsid w:val="4F942DBD"/>
    <w:rsid w:val="4FD2887B"/>
    <w:rsid w:val="50114E42"/>
    <w:rsid w:val="502C54B4"/>
    <w:rsid w:val="5067185E"/>
    <w:rsid w:val="506D3BBC"/>
    <w:rsid w:val="50A92D2F"/>
    <w:rsid w:val="50BF45A9"/>
    <w:rsid w:val="50D6330E"/>
    <w:rsid w:val="50E509EE"/>
    <w:rsid w:val="510978F9"/>
    <w:rsid w:val="51141817"/>
    <w:rsid w:val="511E4CB5"/>
    <w:rsid w:val="51402D84"/>
    <w:rsid w:val="51461151"/>
    <w:rsid w:val="51A263A2"/>
    <w:rsid w:val="522B41C6"/>
    <w:rsid w:val="52A02084"/>
    <w:rsid w:val="52BD7CE0"/>
    <w:rsid w:val="52E17C26"/>
    <w:rsid w:val="52E977F0"/>
    <w:rsid w:val="52EF2115"/>
    <w:rsid w:val="535879C9"/>
    <w:rsid w:val="53606E4D"/>
    <w:rsid w:val="53673CCC"/>
    <w:rsid w:val="53A979D7"/>
    <w:rsid w:val="53BF4C12"/>
    <w:rsid w:val="53FFFE96"/>
    <w:rsid w:val="5416594D"/>
    <w:rsid w:val="547F7B09"/>
    <w:rsid w:val="54914432"/>
    <w:rsid w:val="55091251"/>
    <w:rsid w:val="55B32092"/>
    <w:rsid w:val="5612668C"/>
    <w:rsid w:val="566D131E"/>
    <w:rsid w:val="56D11A7C"/>
    <w:rsid w:val="570F0FBB"/>
    <w:rsid w:val="573111B5"/>
    <w:rsid w:val="576D4AFF"/>
    <w:rsid w:val="57B03C07"/>
    <w:rsid w:val="57FF500E"/>
    <w:rsid w:val="58007616"/>
    <w:rsid w:val="58164828"/>
    <w:rsid w:val="58765096"/>
    <w:rsid w:val="587D59C7"/>
    <w:rsid w:val="58983432"/>
    <w:rsid w:val="58AD0DF8"/>
    <w:rsid w:val="59334CB2"/>
    <w:rsid w:val="593C29B5"/>
    <w:rsid w:val="59634D68"/>
    <w:rsid w:val="59AA4AFE"/>
    <w:rsid w:val="5A147E54"/>
    <w:rsid w:val="5AAC2D8F"/>
    <w:rsid w:val="5AE470DE"/>
    <w:rsid w:val="5B0218EC"/>
    <w:rsid w:val="5B251067"/>
    <w:rsid w:val="5B926053"/>
    <w:rsid w:val="5C371ECE"/>
    <w:rsid w:val="5C667ED2"/>
    <w:rsid w:val="5CAC7AB2"/>
    <w:rsid w:val="5CB057B2"/>
    <w:rsid w:val="5CC6692D"/>
    <w:rsid w:val="5CE6501A"/>
    <w:rsid w:val="5CEA2D8C"/>
    <w:rsid w:val="5CFBCB88"/>
    <w:rsid w:val="5D370C5F"/>
    <w:rsid w:val="5DB11497"/>
    <w:rsid w:val="5DEA9940"/>
    <w:rsid w:val="5E1F6EAB"/>
    <w:rsid w:val="5E373994"/>
    <w:rsid w:val="5E7F4995"/>
    <w:rsid w:val="5EB713F5"/>
    <w:rsid w:val="5EDB2CAE"/>
    <w:rsid w:val="5F0674B4"/>
    <w:rsid w:val="5F332C66"/>
    <w:rsid w:val="5F5E5BA5"/>
    <w:rsid w:val="5F60552A"/>
    <w:rsid w:val="5F77624C"/>
    <w:rsid w:val="5FD7C026"/>
    <w:rsid w:val="5FE3496C"/>
    <w:rsid w:val="5FFF1ED6"/>
    <w:rsid w:val="60C904B0"/>
    <w:rsid w:val="60E70C71"/>
    <w:rsid w:val="61670511"/>
    <w:rsid w:val="61E34267"/>
    <w:rsid w:val="623E4D85"/>
    <w:rsid w:val="62B413D1"/>
    <w:rsid w:val="62D75F60"/>
    <w:rsid w:val="63124E2D"/>
    <w:rsid w:val="63421AE1"/>
    <w:rsid w:val="63496315"/>
    <w:rsid w:val="63B05D45"/>
    <w:rsid w:val="643E786F"/>
    <w:rsid w:val="644A41F7"/>
    <w:rsid w:val="648A48BB"/>
    <w:rsid w:val="656346A5"/>
    <w:rsid w:val="657071FA"/>
    <w:rsid w:val="657C2BF0"/>
    <w:rsid w:val="65956E9C"/>
    <w:rsid w:val="659E7B81"/>
    <w:rsid w:val="66495ED8"/>
    <w:rsid w:val="66834F1A"/>
    <w:rsid w:val="669449F4"/>
    <w:rsid w:val="66B81D09"/>
    <w:rsid w:val="66C0470F"/>
    <w:rsid w:val="67105ACB"/>
    <w:rsid w:val="67305B72"/>
    <w:rsid w:val="6756094D"/>
    <w:rsid w:val="67F45AAE"/>
    <w:rsid w:val="67FD674D"/>
    <w:rsid w:val="680B5540"/>
    <w:rsid w:val="687A3542"/>
    <w:rsid w:val="688A7D54"/>
    <w:rsid w:val="68A11FFC"/>
    <w:rsid w:val="68AD4CF0"/>
    <w:rsid w:val="69633FB1"/>
    <w:rsid w:val="699F681A"/>
    <w:rsid w:val="69F3430A"/>
    <w:rsid w:val="6A160E70"/>
    <w:rsid w:val="6A444CC9"/>
    <w:rsid w:val="6A4F2BB3"/>
    <w:rsid w:val="6A4F5A0F"/>
    <w:rsid w:val="6A550839"/>
    <w:rsid w:val="6A6545A4"/>
    <w:rsid w:val="6A9C6F1F"/>
    <w:rsid w:val="6ABA2214"/>
    <w:rsid w:val="6AC54891"/>
    <w:rsid w:val="6ADB54C4"/>
    <w:rsid w:val="6B0D19EC"/>
    <w:rsid w:val="6B22425E"/>
    <w:rsid w:val="6B7A56B9"/>
    <w:rsid w:val="6B981633"/>
    <w:rsid w:val="6C4E71B9"/>
    <w:rsid w:val="6CB57BB7"/>
    <w:rsid w:val="6CB870A9"/>
    <w:rsid w:val="6D162FB8"/>
    <w:rsid w:val="6DD34464"/>
    <w:rsid w:val="6DDAE4F7"/>
    <w:rsid w:val="6DFB6CB8"/>
    <w:rsid w:val="6E216B56"/>
    <w:rsid w:val="6EA06EA6"/>
    <w:rsid w:val="6EA77907"/>
    <w:rsid w:val="6EE44202"/>
    <w:rsid w:val="6F643623"/>
    <w:rsid w:val="6FD712B2"/>
    <w:rsid w:val="6FDBF7BE"/>
    <w:rsid w:val="6FFB6DE2"/>
    <w:rsid w:val="6FFD0F29"/>
    <w:rsid w:val="702D61A9"/>
    <w:rsid w:val="70DF6FC6"/>
    <w:rsid w:val="70F90298"/>
    <w:rsid w:val="70FD707F"/>
    <w:rsid w:val="719649DC"/>
    <w:rsid w:val="71BC4FE1"/>
    <w:rsid w:val="723B75FC"/>
    <w:rsid w:val="727F7AE6"/>
    <w:rsid w:val="7280576F"/>
    <w:rsid w:val="72905C11"/>
    <w:rsid w:val="72E03267"/>
    <w:rsid w:val="72F6A6E1"/>
    <w:rsid w:val="73026DB2"/>
    <w:rsid w:val="733D4D91"/>
    <w:rsid w:val="7368391E"/>
    <w:rsid w:val="737F05E7"/>
    <w:rsid w:val="73C02C6E"/>
    <w:rsid w:val="73ED0CE8"/>
    <w:rsid w:val="747E7887"/>
    <w:rsid w:val="75307118"/>
    <w:rsid w:val="759413F7"/>
    <w:rsid w:val="75AB27F1"/>
    <w:rsid w:val="75B368E7"/>
    <w:rsid w:val="75C93BFB"/>
    <w:rsid w:val="75CB1CFF"/>
    <w:rsid w:val="76A34B8A"/>
    <w:rsid w:val="76A80B25"/>
    <w:rsid w:val="775AE9E7"/>
    <w:rsid w:val="7773723B"/>
    <w:rsid w:val="779F3AC3"/>
    <w:rsid w:val="77B97B4C"/>
    <w:rsid w:val="77C4077E"/>
    <w:rsid w:val="77CA5856"/>
    <w:rsid w:val="78712BAE"/>
    <w:rsid w:val="78A70FE4"/>
    <w:rsid w:val="78D856BC"/>
    <w:rsid w:val="79CA0260"/>
    <w:rsid w:val="79CC4D88"/>
    <w:rsid w:val="79F25388"/>
    <w:rsid w:val="7A105726"/>
    <w:rsid w:val="7A2C3B20"/>
    <w:rsid w:val="7AD43D5B"/>
    <w:rsid w:val="7B4777BD"/>
    <w:rsid w:val="7B9A3760"/>
    <w:rsid w:val="7BBA783D"/>
    <w:rsid w:val="7BBEA9DD"/>
    <w:rsid w:val="7BCC9D35"/>
    <w:rsid w:val="7BCE6D7B"/>
    <w:rsid w:val="7BD17E0D"/>
    <w:rsid w:val="7BF4B499"/>
    <w:rsid w:val="7C153097"/>
    <w:rsid w:val="7C1A712F"/>
    <w:rsid w:val="7CA7C3C7"/>
    <w:rsid w:val="7D39ED16"/>
    <w:rsid w:val="7D5F5A34"/>
    <w:rsid w:val="7DC1139C"/>
    <w:rsid w:val="7DCB16CA"/>
    <w:rsid w:val="7E4208ED"/>
    <w:rsid w:val="7E647D91"/>
    <w:rsid w:val="7E727087"/>
    <w:rsid w:val="7E7F6193"/>
    <w:rsid w:val="7EB76B7F"/>
    <w:rsid w:val="7EC304BC"/>
    <w:rsid w:val="7EDE76B9"/>
    <w:rsid w:val="7EEE5E80"/>
    <w:rsid w:val="7EFBDAC7"/>
    <w:rsid w:val="7EFFE44D"/>
    <w:rsid w:val="7F044A94"/>
    <w:rsid w:val="7F6FF7BB"/>
    <w:rsid w:val="7F7F911E"/>
    <w:rsid w:val="7F973636"/>
    <w:rsid w:val="7FBBF030"/>
    <w:rsid w:val="7FD558FE"/>
    <w:rsid w:val="7FFA4CAE"/>
    <w:rsid w:val="89FF39F7"/>
    <w:rsid w:val="9D6A4C69"/>
    <w:rsid w:val="9E35BD4F"/>
    <w:rsid w:val="9F5E418D"/>
    <w:rsid w:val="9F9CA594"/>
    <w:rsid w:val="AEFF0BB9"/>
    <w:rsid w:val="AFDF89CF"/>
    <w:rsid w:val="B7BF0FCE"/>
    <w:rsid w:val="BAD79257"/>
    <w:rsid w:val="BBBF5D00"/>
    <w:rsid w:val="BEEC6F01"/>
    <w:rsid w:val="BFEF8545"/>
    <w:rsid w:val="BFF98A44"/>
    <w:rsid w:val="BFFF461B"/>
    <w:rsid w:val="CFF73C02"/>
    <w:rsid w:val="D5E7EAF6"/>
    <w:rsid w:val="D66D2D40"/>
    <w:rsid w:val="D7BE1076"/>
    <w:rsid w:val="DBB8C726"/>
    <w:rsid w:val="DBFD77B0"/>
    <w:rsid w:val="DDFFECB2"/>
    <w:rsid w:val="DE9B7DDB"/>
    <w:rsid w:val="DEF548B1"/>
    <w:rsid w:val="DF4FE90F"/>
    <w:rsid w:val="E6346374"/>
    <w:rsid w:val="EEFBBD3A"/>
    <w:rsid w:val="EF832CDC"/>
    <w:rsid w:val="EFCDBDB9"/>
    <w:rsid w:val="F42FA53F"/>
    <w:rsid w:val="F4AFF627"/>
    <w:rsid w:val="F5CE8251"/>
    <w:rsid w:val="F6F9A6CC"/>
    <w:rsid w:val="F757AB34"/>
    <w:rsid w:val="F7FF8691"/>
    <w:rsid w:val="F9FF9A62"/>
    <w:rsid w:val="FD2F6BF8"/>
    <w:rsid w:val="FEFD6310"/>
    <w:rsid w:val="FF5CF5E2"/>
    <w:rsid w:val="FF7F4803"/>
    <w:rsid w:val="FFBDB308"/>
    <w:rsid w:val="FFCD6F15"/>
    <w:rsid w:val="FFDF1B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link w:val="17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7">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8">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9">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0">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1">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2">
    <w:name w:val="List 3"/>
    <w:basedOn w:val="1"/>
    <w:qFormat/>
    <w:uiPriority w:val="0"/>
    <w:pPr>
      <w:ind w:left="100" w:leftChars="400" w:hanging="200" w:hangingChars="200"/>
    </w:pPr>
  </w:style>
  <w:style w:type="paragraph" w:styleId="13">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151"/>
    <w:qFormat/>
    <w:uiPriority w:val="0"/>
    <w:pPr>
      <w:jc w:val="left"/>
    </w:pPr>
  </w:style>
  <w:style w:type="paragraph" w:styleId="17">
    <w:name w:val="Salutation"/>
    <w:basedOn w:val="1"/>
    <w:next w:val="1"/>
    <w:link w:val="174"/>
    <w:qFormat/>
    <w:uiPriority w:val="0"/>
    <w:rPr>
      <w:sz w:val="24"/>
      <w:szCs w:val="20"/>
    </w:rPr>
  </w:style>
  <w:style w:type="paragraph" w:styleId="18">
    <w:name w:val="Body Text 3"/>
    <w:basedOn w:val="1"/>
    <w:link w:val="184"/>
    <w:qFormat/>
    <w:uiPriority w:val="0"/>
    <w:pPr>
      <w:spacing w:after="120"/>
    </w:pPr>
    <w:rPr>
      <w:sz w:val="16"/>
      <w:szCs w:val="16"/>
    </w:rPr>
  </w:style>
  <w:style w:type="paragraph" w:styleId="19">
    <w:name w:val="Body Text"/>
    <w:basedOn w:val="1"/>
    <w:next w:val="20"/>
    <w:qFormat/>
    <w:uiPriority w:val="0"/>
    <w:pPr>
      <w:adjustRightInd w:val="0"/>
      <w:spacing w:after="120" w:line="360" w:lineRule="atLeast"/>
      <w:textAlignment w:val="baseline"/>
    </w:pPr>
    <w:rPr>
      <w:kern w:val="0"/>
      <w:sz w:val="20"/>
      <w:szCs w:val="20"/>
    </w:rPr>
  </w:style>
  <w:style w:type="paragraph" w:customStyle="1" w:styleId="20">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1">
    <w:name w:val="Body Text Indent"/>
    <w:basedOn w:val="1"/>
    <w:next w:val="1"/>
    <w:link w:val="154"/>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120" w:line="360" w:lineRule="auto"/>
      <w:ind w:left="824" w:right="202"/>
    </w:pPr>
    <w:rPr>
      <w:rFonts w:ascii="宋体" w:hAnsi="宋体"/>
      <w:sz w:val="24"/>
      <w:szCs w:val="21"/>
    </w:rPr>
  </w:style>
  <w:style w:type="paragraph" w:styleId="24">
    <w:name w:val="List Bullet 2"/>
    <w:basedOn w:val="1"/>
    <w:qFormat/>
    <w:uiPriority w:val="0"/>
    <w:pPr>
      <w:tabs>
        <w:tab w:val="left" w:pos="432"/>
      </w:tabs>
      <w:spacing w:line="460" w:lineRule="exact"/>
      <w:ind w:left="432" w:hanging="432"/>
    </w:pPr>
    <w:rPr>
      <w:spacing w:val="6"/>
      <w:sz w:val="24"/>
      <w:szCs w:val="20"/>
    </w:rPr>
  </w:style>
  <w:style w:type="paragraph" w:styleId="2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6">
    <w:name w:val="Plain Text"/>
    <w:basedOn w:val="1"/>
    <w:link w:val="170"/>
    <w:qFormat/>
    <w:uiPriority w:val="0"/>
    <w:rPr>
      <w:rFonts w:ascii="宋体" w:hAnsi="Courier New"/>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61"/>
    <w:semiHidden/>
    <w:qFormat/>
    <w:uiPriority w:val="0"/>
    <w:rPr>
      <w:sz w:val="18"/>
      <w:szCs w:val="18"/>
    </w:rPr>
  </w:style>
  <w:style w:type="paragraph" w:styleId="30">
    <w:name w:val="footer"/>
    <w:basedOn w:val="1"/>
    <w:link w:val="188"/>
    <w:qFormat/>
    <w:uiPriority w:val="99"/>
    <w:pPr>
      <w:tabs>
        <w:tab w:val="center" w:pos="4153"/>
        <w:tab w:val="right" w:pos="8306"/>
      </w:tabs>
      <w:snapToGrid w:val="0"/>
      <w:jc w:val="left"/>
    </w:pPr>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6"/>
    <w:next w:val="16"/>
    <w:link w:val="192"/>
    <w:qFormat/>
    <w:uiPriority w:val="0"/>
    <w:rPr>
      <w:b/>
      <w:bCs/>
    </w:rPr>
  </w:style>
  <w:style w:type="paragraph" w:styleId="40">
    <w:name w:val="Body Text First Indent"/>
    <w:basedOn w:val="19"/>
    <w:next w:val="19"/>
    <w:qFormat/>
    <w:uiPriority w:val="0"/>
    <w:pPr>
      <w:widowControl/>
      <w:tabs>
        <w:tab w:val="left" w:pos="0"/>
      </w:tabs>
      <w:spacing w:after="156"/>
      <w:ind w:left="425"/>
      <w:jc w:val="left"/>
    </w:pPr>
    <w:rPr>
      <w:sz w:val="28"/>
      <w:szCs w:val="28"/>
    </w:rPr>
  </w:style>
  <w:style w:type="paragraph" w:styleId="41">
    <w:name w:val="Body Text First Indent 2"/>
    <w:basedOn w:val="21"/>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2"/>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3"/>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6"/>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4"/>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4"/>
    <w:qFormat/>
    <w:uiPriority w:val="0"/>
    <w:pPr>
      <w:spacing w:line="360" w:lineRule="auto"/>
    </w:pPr>
    <w:rPr>
      <w:rFonts w:ascii="Tahoma" w:hAnsi="Tahoma"/>
      <w:sz w:val="24"/>
    </w:rPr>
  </w:style>
  <w:style w:type="paragraph" w:customStyle="1" w:styleId="84">
    <w:name w:val="样式 标题 4 + 段后: 8.15 磅 行距: 1.5 倍行距"/>
    <w:basedOn w:val="6"/>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4"/>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5"/>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4"/>
    <w:qFormat/>
    <w:uiPriority w:val="0"/>
    <w:rPr>
      <w:rFonts w:ascii="Tahoma" w:hAnsi="Tahoma" w:cs="Tahoma"/>
      <w:sz w:val="24"/>
    </w:rPr>
  </w:style>
  <w:style w:type="paragraph" w:customStyle="1" w:styleId="91">
    <w:name w:val="样式 正文（首行缩进两字） + 宋体 左侧:  0 厘米 悬挂缩进: 1.43 字符"/>
    <w:basedOn w:val="5"/>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6"/>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5"/>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2"/>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4"/>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5"/>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4"/>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4"/>
    <w:qFormat/>
    <w:uiPriority w:val="0"/>
    <w:rPr>
      <w:rFonts w:ascii="Tahoma" w:hAnsi="Tahoma"/>
      <w:sz w:val="24"/>
    </w:rPr>
  </w:style>
  <w:style w:type="paragraph" w:customStyle="1" w:styleId="117">
    <w:name w:val="样式 标题 3 + (符号) 宋体 四号 加粗 黑色 段前: 0 磅 段后: 0 磅 行距: 固定值 22 磅"/>
    <w:basedOn w:val="4"/>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4"/>
    <w:qFormat/>
    <w:uiPriority w:val="0"/>
  </w:style>
  <w:style w:type="paragraph" w:customStyle="1" w:styleId="121">
    <w:name w:val="_Style 109"/>
    <w:basedOn w:val="2"/>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4"/>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5"/>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6"/>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3"/>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3"/>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3"/>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4"/>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6"/>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1"/>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29"/>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5"/>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9"/>
    <w:qFormat/>
    <w:uiPriority w:val="0"/>
    <w:rPr>
      <w:sz w:val="24"/>
    </w:rPr>
  </w:style>
  <w:style w:type="character" w:customStyle="1" w:styleId="170">
    <w:name w:val="纯文本 字符"/>
    <w:link w:val="26"/>
    <w:qFormat/>
    <w:uiPriority w:val="0"/>
    <w:rPr>
      <w:rFonts w:ascii="宋体" w:hAnsi="Courier New" w:eastAsia="宋体"/>
      <w:kern w:val="2"/>
      <w:sz w:val="21"/>
      <w:lang w:val="en-US" w:eastAsia="zh-CN" w:bidi="ar-SA"/>
    </w:rPr>
  </w:style>
  <w:style w:type="character" w:customStyle="1" w:styleId="171">
    <w:name w:val="标题 3 字符"/>
    <w:link w:val="4"/>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qFormat/>
    <w:uiPriority w:val="0"/>
    <w:rPr>
      <w:rFonts w:hint="default" w:ascii="Arial" w:hAnsi="Arial" w:cs="Arial"/>
      <w:color w:val="000000"/>
      <w:sz w:val="20"/>
      <w:szCs w:val="20"/>
      <w:u w:val="none"/>
    </w:rPr>
  </w:style>
  <w:style w:type="character" w:customStyle="1" w:styleId="174">
    <w:name w:val="称呼 字符"/>
    <w:link w:val="17"/>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8"/>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30"/>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 w:type="paragraph" w:customStyle="1" w:styleId="220">
    <w:name w:val="Body Text Indent1"/>
    <w:basedOn w:val="1"/>
    <w:unhideWhenUsed/>
    <w:qFormat/>
    <w:uiPriority w:val="0"/>
    <w:pPr>
      <w:spacing w:beforeLines="0" w:afterLines="0"/>
      <w:ind w:left="420" w:leftChars="200"/>
    </w:pPr>
    <w:rPr>
      <w:rFonts w:hint="default" w:ascii="Times New Roman" w:hAnsi="Times New Roman"/>
      <w:sz w:val="21"/>
      <w:szCs w:val="24"/>
    </w:rPr>
  </w:style>
  <w:style w:type="paragraph" w:customStyle="1" w:styleId="221">
    <w:name w:val="Body Text First Indent 21"/>
    <w:basedOn w:val="220"/>
    <w:unhideWhenUsed/>
    <w:qFormat/>
    <w:uiPriority w:val="0"/>
    <w:pPr>
      <w:spacing w:beforeLines="0" w:afterLines="0"/>
      <w:ind w:firstLine="420"/>
    </w:pPr>
    <w:rPr>
      <w:rFonts w:hint="default" w:eastAsia="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24</Pages>
  <Words>4305</Words>
  <Characters>4553</Characters>
  <Lines>1</Lines>
  <Paragraphs>1</Paragraphs>
  <TotalTime>5</TotalTime>
  <ScaleCrop>false</ScaleCrop>
  <LinksUpToDate>false</LinksUpToDate>
  <CharactersWithSpaces>5403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2022-04-01T00:20:00Z</dcterms:created>
  <dc:creator>yx</dc:creator>
  <cp:lastModifiedBy>安、馨</cp:lastModifiedBy>
  <cp:lastPrinted>2023-04-30T08:20:00Z</cp:lastPrinted>
  <dcterms:modified xsi:type="dcterms:W3CDTF">2024-11-12T08:48:41Z</dcterms:modified>
  <dc:title>云南红塔烟叶物资有限责任公司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A391FF6FEFFC4DA485DF3B90873A7FEA_13</vt:lpwstr>
  </property>
</Properties>
</file>