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utoSpaceDE w:val="0"/>
        <w:autoSpaceDN w:val="0"/>
        <w:adjustRightInd w:val="0"/>
        <w:ind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_Toc285612596"/>
      <w:r>
        <w:rPr>
          <w:rFonts w:hint="eastAsia" w:ascii="仿宋" w:hAnsi="仿宋" w:eastAsia="仿宋" w:cs="仿宋"/>
          <w:kern w:val="0"/>
          <w:sz w:val="28"/>
          <w:szCs w:val="28"/>
        </w:rPr>
        <w:t>附件6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：</w:t>
      </w:r>
      <w:bookmarkEnd w:id="0"/>
    </w:p>
    <w:p>
      <w:pPr>
        <w:pStyle w:val="8"/>
        <w:autoSpaceDE w:val="0"/>
        <w:autoSpaceDN w:val="0"/>
        <w:adjustRightInd w:val="0"/>
        <w:ind w:firstLine="0" w:firstLineChars="0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评  分  标  准</w:t>
      </w:r>
    </w:p>
    <w:tbl>
      <w:tblPr>
        <w:tblStyle w:val="5"/>
        <w:tblW w:w="95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1483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line="500" w:lineRule="exact"/>
              <w:ind w:left="58" w:right="44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符合性审查分（20分）</w:t>
            </w:r>
          </w:p>
        </w:tc>
        <w:tc>
          <w:tcPr>
            <w:tcW w:w="807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满足公告中约定餐饮合作商要求的全部条款，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sz w:val="24"/>
              </w:rPr>
              <w:t xml:space="preserve">得 </w:t>
            </w:r>
            <w:r>
              <w:rPr>
                <w:rFonts w:hint="eastAsia" w:cs="仿宋"/>
                <w:color w:val="000000"/>
                <w:spacing w:val="-7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</w:rPr>
              <w:t>分，如有一项不满足做无效</w:t>
            </w:r>
            <w:r>
              <w:rPr>
                <w:rFonts w:hint="eastAsia"/>
                <w:color w:val="000000"/>
                <w:spacing w:val="-10"/>
                <w:sz w:val="24"/>
              </w:rPr>
              <w:t>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处理。（评分依据：提供承诺函</w:t>
            </w:r>
            <w:r>
              <w:rPr>
                <w:rFonts w:hint="eastAsia"/>
                <w:color w:val="000000"/>
                <w:sz w:val="24"/>
              </w:rPr>
              <w:t>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符合性条款响应/偏离表）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3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line="500" w:lineRule="exact"/>
              <w:ind w:left="58" w:right="44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价格分</w:t>
            </w:r>
          </w:p>
          <w:p>
            <w:pPr>
              <w:pStyle w:val="9"/>
              <w:spacing w:line="500" w:lineRule="exact"/>
              <w:ind w:left="58" w:right="44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  <w:lang w:val="en-US"/>
              </w:rPr>
              <w:t>20</w:t>
            </w:r>
            <w:r>
              <w:rPr>
                <w:rFonts w:hint="eastAsia"/>
                <w:color w:val="000000"/>
                <w:sz w:val="24"/>
              </w:rPr>
              <w:t xml:space="preserve"> 分）</w:t>
            </w:r>
          </w:p>
        </w:tc>
        <w:tc>
          <w:tcPr>
            <w:tcW w:w="807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9"/>
              <w:spacing w:before="132" w:line="500" w:lineRule="exact"/>
              <w:ind w:left="105"/>
              <w:jc w:val="left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价格分：</w:t>
            </w:r>
            <w:r>
              <w:rPr>
                <w:rFonts w:hint="eastAsia"/>
                <w:sz w:val="24"/>
              </w:rPr>
              <w:t>响应报价得分=(评标基准价／响应报价)×0.</w:t>
            </w:r>
            <w:r>
              <w:rPr>
                <w:rFonts w:hint="eastAsia"/>
                <w:sz w:val="24"/>
                <w:lang w:val="en-US"/>
              </w:rPr>
              <w:t>2</w:t>
            </w:r>
            <w:r>
              <w:rPr>
                <w:rFonts w:hint="eastAsia"/>
                <w:sz w:val="24"/>
              </w:rPr>
              <w:t>×100</w:t>
            </w:r>
          </w:p>
          <w:p>
            <w:pPr>
              <w:pStyle w:val="9"/>
              <w:spacing w:before="132" w:line="500" w:lineRule="exact"/>
              <w:ind w:left="105"/>
              <w:jc w:val="left"/>
              <w:rPr>
                <w:color w:val="000000"/>
                <w:sz w:val="24"/>
                <w:lang w:val="en-US"/>
              </w:rPr>
            </w:pPr>
            <w:r>
              <w:rPr>
                <w:rFonts w:hint="eastAsia"/>
                <w:spacing w:val="-13"/>
                <w:sz w:val="24"/>
              </w:rPr>
              <w:t>响</w:t>
            </w:r>
            <w:bookmarkStart w:id="1" w:name="_GoBack"/>
            <w:bookmarkEnd w:id="1"/>
            <w:r>
              <w:rPr>
                <w:rFonts w:hint="eastAsia"/>
                <w:spacing w:val="-13"/>
                <w:sz w:val="24"/>
              </w:rPr>
              <w:t>应价格最低的报价为评标基准价，其价格</w:t>
            </w:r>
            <w:r>
              <w:rPr>
                <w:rFonts w:hint="eastAsia"/>
                <w:spacing w:val="-1"/>
                <w:sz w:val="24"/>
              </w:rPr>
              <w:t>分为满分，</w:t>
            </w:r>
            <w:r>
              <w:rPr>
                <w:rFonts w:hint="eastAsia"/>
                <w:spacing w:val="-1"/>
                <w:sz w:val="24"/>
                <w:lang w:val="en-US"/>
              </w:rPr>
              <w:t>其中响应报价为</w:t>
            </w:r>
            <w:r>
              <w:rPr>
                <w:rFonts w:hint="eastAsia"/>
                <w:color w:val="000000"/>
                <w:sz w:val="24"/>
                <w:lang w:val="en-US"/>
              </w:rPr>
              <w:t>年度营业收入1000万元我公司所获收益计算。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6" w:hRule="atLeast"/>
          <w:jc w:val="center"/>
        </w:trPr>
        <w:tc>
          <w:tcPr>
            <w:tcW w:w="1483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line="500" w:lineRule="exact"/>
              <w:jc w:val="center"/>
              <w:rPr>
                <w:color w:val="000000"/>
                <w:sz w:val="24"/>
              </w:rPr>
            </w:pPr>
          </w:p>
          <w:p>
            <w:pPr>
              <w:pStyle w:val="9"/>
              <w:spacing w:line="500" w:lineRule="exact"/>
              <w:jc w:val="center"/>
              <w:rPr>
                <w:color w:val="000000"/>
                <w:sz w:val="24"/>
              </w:rPr>
            </w:pPr>
          </w:p>
          <w:p>
            <w:pPr>
              <w:pStyle w:val="9"/>
              <w:spacing w:line="500" w:lineRule="exact"/>
              <w:jc w:val="center"/>
              <w:rPr>
                <w:color w:val="000000"/>
                <w:sz w:val="24"/>
              </w:rPr>
            </w:pPr>
          </w:p>
          <w:p>
            <w:pPr>
              <w:pStyle w:val="9"/>
              <w:spacing w:line="500" w:lineRule="exact"/>
              <w:jc w:val="center"/>
              <w:rPr>
                <w:color w:val="000000"/>
                <w:sz w:val="24"/>
              </w:rPr>
            </w:pPr>
          </w:p>
          <w:p>
            <w:pPr>
              <w:pStyle w:val="9"/>
              <w:spacing w:line="500" w:lineRule="exact"/>
              <w:ind w:left="58" w:right="44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讲标得分</w:t>
            </w:r>
          </w:p>
          <w:p>
            <w:pPr>
              <w:pStyle w:val="9"/>
              <w:spacing w:before="9" w:line="500" w:lineRule="exact"/>
              <w:jc w:val="center"/>
              <w:rPr>
                <w:color w:val="000000"/>
                <w:sz w:val="24"/>
              </w:rPr>
            </w:pPr>
          </w:p>
          <w:p>
            <w:pPr>
              <w:pStyle w:val="9"/>
              <w:spacing w:line="500" w:lineRule="exact"/>
              <w:ind w:left="58" w:right="44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  <w:lang w:val="en-US"/>
              </w:rPr>
              <w:t>6</w:t>
            </w:r>
            <w:r>
              <w:rPr>
                <w:rFonts w:hint="eastAsia"/>
                <w:color w:val="000000"/>
                <w:sz w:val="24"/>
              </w:rPr>
              <w:t>0 分）</w:t>
            </w:r>
          </w:p>
        </w:tc>
        <w:tc>
          <w:tcPr>
            <w:tcW w:w="8073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9"/>
              <w:spacing w:line="500" w:lineRule="exact"/>
              <w:jc w:val="left"/>
              <w:rPr>
                <w:color w:val="000000"/>
                <w:spacing w:val="-12"/>
                <w:sz w:val="24"/>
                <w:lang w:val="en-US"/>
              </w:rPr>
            </w:pPr>
            <w:r>
              <w:rPr>
                <w:rFonts w:hint="eastAsia"/>
                <w:color w:val="000000"/>
                <w:spacing w:val="-12"/>
                <w:sz w:val="24"/>
                <w:lang w:val="en-US"/>
              </w:rPr>
              <w:t>现场评委对参加遴选单位的代表讲标内容进行现场评分，评分要点如下：</w:t>
            </w:r>
          </w:p>
          <w:p>
            <w:pPr>
              <w:pStyle w:val="9"/>
              <w:numPr>
                <w:ilvl w:val="0"/>
                <w:numId w:val="1"/>
              </w:numPr>
              <w:spacing w:line="500" w:lineRule="exact"/>
              <w:jc w:val="left"/>
              <w:rPr>
                <w:color w:val="000000"/>
                <w:spacing w:val="-13"/>
                <w:sz w:val="24"/>
                <w:lang w:val="en-US"/>
              </w:rPr>
            </w:pPr>
            <w:r>
              <w:rPr>
                <w:rFonts w:hint="eastAsia"/>
                <w:color w:val="000000"/>
                <w:spacing w:val="-13"/>
                <w:sz w:val="24"/>
                <w:lang w:val="en-US"/>
              </w:rPr>
              <w:t>企业规模（10分）</w:t>
            </w:r>
          </w:p>
          <w:p>
            <w:pPr>
              <w:pStyle w:val="9"/>
              <w:spacing w:line="500" w:lineRule="exact"/>
              <w:jc w:val="left"/>
              <w:rPr>
                <w:color w:val="000000"/>
                <w:spacing w:val="-13"/>
                <w:sz w:val="24"/>
                <w:lang w:val="en-US"/>
              </w:rPr>
            </w:pPr>
            <w:r>
              <w:rPr>
                <w:rFonts w:hint="eastAsia"/>
                <w:color w:val="000000"/>
                <w:spacing w:val="-13"/>
                <w:sz w:val="24"/>
                <w:lang w:val="en-US"/>
              </w:rPr>
              <w:t>评分要点：企业餐饮投资、营收及利润总额，旗下餐饮品牌数量，员工总人数，在营餐饮门店数量，经营单体餐饮门店最大体量等。</w:t>
            </w:r>
          </w:p>
          <w:p>
            <w:pPr>
              <w:pStyle w:val="9"/>
              <w:numPr>
                <w:ilvl w:val="0"/>
                <w:numId w:val="1"/>
              </w:numPr>
              <w:spacing w:line="500" w:lineRule="exact"/>
              <w:jc w:val="left"/>
              <w:rPr>
                <w:color w:val="000000"/>
                <w:spacing w:val="-13"/>
                <w:sz w:val="24"/>
                <w:lang w:val="en-US"/>
              </w:rPr>
            </w:pPr>
            <w:r>
              <w:rPr>
                <w:rFonts w:hint="eastAsia"/>
                <w:color w:val="000000"/>
                <w:spacing w:val="-13"/>
                <w:sz w:val="24"/>
                <w:lang w:val="en-US"/>
              </w:rPr>
              <w:t>餐饮行业经验（10分）</w:t>
            </w:r>
          </w:p>
          <w:p>
            <w:pPr>
              <w:pStyle w:val="9"/>
              <w:spacing w:line="500" w:lineRule="exact"/>
              <w:jc w:val="left"/>
              <w:rPr>
                <w:color w:val="000000"/>
                <w:spacing w:val="-13"/>
                <w:sz w:val="24"/>
                <w:lang w:val="en-US"/>
              </w:rPr>
            </w:pPr>
            <w:r>
              <w:rPr>
                <w:rFonts w:hint="eastAsia"/>
                <w:color w:val="000000"/>
                <w:spacing w:val="-13"/>
                <w:sz w:val="24"/>
                <w:lang w:val="en-US"/>
              </w:rPr>
              <w:t>评分要点：具有多个品牌连锁餐饮店经营经验、截至2021年12月22日从事餐饮行业年限。</w:t>
            </w:r>
          </w:p>
          <w:p>
            <w:pPr>
              <w:pStyle w:val="9"/>
              <w:numPr>
                <w:ilvl w:val="0"/>
                <w:numId w:val="1"/>
              </w:numPr>
              <w:spacing w:line="500" w:lineRule="exact"/>
              <w:jc w:val="left"/>
              <w:rPr>
                <w:color w:val="000000"/>
                <w:spacing w:val="-13"/>
                <w:sz w:val="24"/>
                <w:lang w:val="en-US"/>
              </w:rPr>
            </w:pPr>
            <w:r>
              <w:rPr>
                <w:rFonts w:hint="eastAsia"/>
                <w:color w:val="000000"/>
                <w:spacing w:val="-13"/>
                <w:sz w:val="24"/>
                <w:lang w:val="en-US"/>
              </w:rPr>
              <w:t>投入餐饮运营团队能力（10分）</w:t>
            </w:r>
          </w:p>
          <w:p>
            <w:pPr>
              <w:pStyle w:val="9"/>
              <w:spacing w:line="500" w:lineRule="exact"/>
              <w:jc w:val="left"/>
              <w:rPr>
                <w:color w:val="000000"/>
                <w:spacing w:val="-13"/>
                <w:sz w:val="24"/>
                <w:lang w:val="en-US"/>
              </w:rPr>
            </w:pPr>
            <w:r>
              <w:rPr>
                <w:rFonts w:hint="eastAsia"/>
                <w:color w:val="000000"/>
                <w:spacing w:val="-13"/>
                <w:sz w:val="24"/>
                <w:lang w:val="en-US"/>
              </w:rPr>
              <w:t>评分要点：可投入的项目经理、厨师团队、服务团队等各岗位人员数量、人员素质、从业经验等。</w:t>
            </w:r>
          </w:p>
          <w:p>
            <w:pPr>
              <w:pStyle w:val="9"/>
              <w:numPr>
                <w:ilvl w:val="0"/>
                <w:numId w:val="1"/>
              </w:numPr>
              <w:spacing w:line="500" w:lineRule="exact"/>
              <w:jc w:val="left"/>
              <w:rPr>
                <w:color w:val="000000"/>
                <w:spacing w:val="-13"/>
                <w:sz w:val="24"/>
                <w:lang w:val="en-US"/>
              </w:rPr>
            </w:pPr>
            <w:r>
              <w:rPr>
                <w:rFonts w:hint="eastAsia"/>
                <w:color w:val="000000"/>
                <w:spacing w:val="-13"/>
                <w:sz w:val="24"/>
                <w:lang w:val="en-US"/>
              </w:rPr>
              <w:t>“水晶之恋”游船餐饮经营思路（20分）</w:t>
            </w:r>
          </w:p>
          <w:p>
            <w:pPr>
              <w:pStyle w:val="9"/>
              <w:spacing w:line="500" w:lineRule="exact"/>
              <w:jc w:val="left"/>
              <w:rPr>
                <w:color w:val="000000"/>
                <w:spacing w:val="-13"/>
                <w:sz w:val="24"/>
                <w:lang w:val="en-US"/>
              </w:rPr>
            </w:pPr>
            <w:r>
              <w:rPr>
                <w:rFonts w:hint="eastAsia"/>
                <w:color w:val="000000"/>
                <w:spacing w:val="-13"/>
                <w:sz w:val="24"/>
                <w:lang w:val="en-US"/>
              </w:rPr>
              <w:t>评分要点：</w:t>
            </w:r>
            <w:r>
              <w:rPr>
                <w:rFonts w:hint="eastAsia"/>
                <w:color w:val="000000"/>
                <w:spacing w:val="-13"/>
                <w:sz w:val="24"/>
              </w:rPr>
              <w:t>对</w:t>
            </w:r>
            <w:r>
              <w:rPr>
                <w:rFonts w:hint="eastAsia"/>
                <w:color w:val="000000"/>
                <w:spacing w:val="-13"/>
                <w:sz w:val="24"/>
                <w:lang w:val="en-US"/>
              </w:rPr>
              <w:t>本</w:t>
            </w:r>
            <w:r>
              <w:rPr>
                <w:rFonts w:hint="eastAsia"/>
                <w:color w:val="000000"/>
                <w:spacing w:val="-13"/>
                <w:sz w:val="24"/>
              </w:rPr>
              <w:t>项目理解全面、</w:t>
            </w:r>
            <w:r>
              <w:rPr>
                <w:rFonts w:hint="eastAsia"/>
                <w:color w:val="000000"/>
                <w:spacing w:val="-13"/>
                <w:sz w:val="24"/>
                <w:lang w:val="en-US"/>
              </w:rPr>
              <w:t>透彻</w:t>
            </w:r>
            <w:r>
              <w:rPr>
                <w:rFonts w:hint="eastAsia"/>
                <w:color w:val="000000"/>
                <w:spacing w:val="-13"/>
                <w:sz w:val="24"/>
              </w:rPr>
              <w:t>，</w:t>
            </w:r>
            <w:r>
              <w:rPr>
                <w:rFonts w:hint="eastAsia"/>
                <w:color w:val="000000"/>
                <w:spacing w:val="-13"/>
                <w:sz w:val="24"/>
                <w:lang w:val="en-US"/>
              </w:rPr>
              <w:t>对游船餐饮</w:t>
            </w:r>
            <w:r>
              <w:rPr>
                <w:rFonts w:hint="eastAsia"/>
                <w:color w:val="000000"/>
                <w:spacing w:val="-8"/>
                <w:sz w:val="24"/>
              </w:rPr>
              <w:t>发展现状及未来规划</w:t>
            </w:r>
            <w:r>
              <w:rPr>
                <w:rFonts w:hint="eastAsia"/>
                <w:color w:val="000000"/>
                <w:spacing w:val="-8"/>
                <w:sz w:val="24"/>
                <w:lang w:val="en-US"/>
              </w:rPr>
              <w:t>详实有</w:t>
            </w:r>
            <w:r>
              <w:rPr>
                <w:rFonts w:hint="eastAsia"/>
                <w:color w:val="000000"/>
                <w:spacing w:val="-8"/>
                <w:sz w:val="24"/>
              </w:rPr>
              <w:t>特色、</w:t>
            </w:r>
            <w:r>
              <w:rPr>
                <w:rFonts w:hint="eastAsia"/>
                <w:color w:val="000000"/>
                <w:spacing w:val="-8"/>
                <w:sz w:val="24"/>
                <w:lang w:val="en-US"/>
              </w:rPr>
              <w:t>有亮点，市场及重点消费客群定位精准，经营理念新颖、有创意，经营思路格调、创意符合“水晶之恋”游船整体装饰装修风格和整体品味，对游船餐饮形式、菜品、定价、营销引流体系等方面思路清晰、符合当前市场行情，具有很好的盈利前景。</w:t>
            </w:r>
          </w:p>
          <w:p>
            <w:pPr>
              <w:pStyle w:val="9"/>
              <w:numPr>
                <w:ilvl w:val="0"/>
                <w:numId w:val="1"/>
              </w:numPr>
              <w:spacing w:line="500" w:lineRule="exact"/>
              <w:jc w:val="left"/>
              <w:rPr>
                <w:color w:val="000000"/>
                <w:spacing w:val="-13"/>
                <w:sz w:val="24"/>
                <w:lang w:val="en-US"/>
              </w:rPr>
            </w:pPr>
            <w:r>
              <w:rPr>
                <w:rFonts w:hint="eastAsia"/>
                <w:color w:val="000000"/>
                <w:spacing w:val="-13"/>
                <w:sz w:val="24"/>
                <w:lang w:val="en-US"/>
              </w:rPr>
              <w:t>综合评价（10分）</w:t>
            </w:r>
          </w:p>
          <w:p>
            <w:pPr>
              <w:pStyle w:val="9"/>
              <w:spacing w:line="5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13"/>
                <w:sz w:val="24"/>
                <w:lang w:val="en-US"/>
              </w:rPr>
              <w:t>评分要点：整体讲标过程思路清晰、逻辑严谨、内容丰富、特色鲜明、可操作性强、经营前景好。</w:t>
            </w:r>
          </w:p>
        </w:tc>
      </w:tr>
    </w:tbl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D7A9A"/>
    <w:rsid w:val="2E9F2F97"/>
    <w:rsid w:val="314D1CB9"/>
    <w:rsid w:val="3A994B2A"/>
    <w:rsid w:val="696A7D1B"/>
    <w:rsid w:val="6989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3570</Words>
  <Characters>3679</Characters>
  <Paragraphs>261</Paragraphs>
  <TotalTime>6</TotalTime>
  <ScaleCrop>false</ScaleCrop>
  <LinksUpToDate>false</LinksUpToDate>
  <CharactersWithSpaces>3766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2021-12-20T19:44:00Z</dcterms:created>
  <dc:creator>ljzx</dc:creator>
  <cp:lastModifiedBy>Anne</cp:lastModifiedBy>
  <dcterms:modified xsi:type="dcterms:W3CDTF">2021-12-23T00:59:48Z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ECF0A76EA6534D7C85C4186860EA8DA7</vt:lpwstr>
  </property>
</Properties>
</file>