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44"/>
          <w:szCs w:val="44"/>
        </w:rPr>
      </w:pPr>
      <w:bookmarkStart w:id="0" w:name="_Toc285612596"/>
      <w:r>
        <w:rPr>
          <w:rFonts w:hint="eastAsia" w:ascii="仿宋" w:hAnsi="仿宋" w:eastAsia="仿宋" w:cs="仿宋"/>
          <w:sz w:val="28"/>
          <w:szCs w:val="28"/>
        </w:rPr>
        <w:t>附件5：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符合性条款响应/偏离表</w:t>
      </w:r>
    </w:p>
    <w:bookmarkEnd w:id="1"/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33"/>
        <w:gridCol w:w="3492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199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符合性条款响应/偏离表</w:t>
            </w:r>
          </w:p>
        </w:tc>
        <w:tc>
          <w:tcPr>
            <w:tcW w:w="177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餐饮合作商响应/偏离表</w:t>
            </w: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997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餐饮合作商负责我公司常规航班游船一楼、包厢作为餐饮主要经营场所的整体营运及包船、包层、主题活动套餐及员工餐。</w:t>
            </w:r>
          </w:p>
        </w:tc>
        <w:tc>
          <w:tcPr>
            <w:tcW w:w="177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997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餐饮合作商须提供餐饮所需的物资、人员（包含厨部和服务工作人员），人员服装及所需配备的物资、装饰品由餐饮合作商自行准备，配备前须经我公司审核后方可使用，服装款式应与游船工作人员工作服款式相匹配，装饰品应与游船装饰装修风格相适应。</w:t>
            </w:r>
          </w:p>
        </w:tc>
        <w:tc>
          <w:tcPr>
            <w:tcW w:w="177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997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餐饮合作商须承担餐饮经营所产生的费用，包含但不限于燃气费、能耗费、易耗品购置费、餐具耗损购置费及台布、椅套、地毯等洗涤费和相关物品运输费、通信费、厨房清洁费（厨房洗涤根据实际需要不定期清洗）、自派员工工资等。</w:t>
            </w:r>
          </w:p>
        </w:tc>
        <w:tc>
          <w:tcPr>
            <w:tcW w:w="177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997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餐饮合作商须对游船内食品安全、餐饮投诉等负责，因餐饮制作、销售产生的纠纷、罚款等对我公司造成的一切损失均由餐饮合作商承担，如餐饮合作商未及时缴纳罚款或违约款项，我公司有权从营业收入中进行扣除。</w:t>
            </w:r>
          </w:p>
        </w:tc>
        <w:tc>
          <w:tcPr>
            <w:tcW w:w="177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997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为避免游船内业态的相互恶性竞争，餐饮合作商仅提供餐食制作及赠送的茶水，不得销售酒水饮料、预包装食品等我公司销售或其他合作商在游船内销售的产品。</w:t>
            </w:r>
          </w:p>
        </w:tc>
        <w:tc>
          <w:tcPr>
            <w:tcW w:w="177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997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餐饮销售产品由餐饮合作商研发，菜单及定价由双方共同商定。</w:t>
            </w:r>
          </w:p>
        </w:tc>
        <w:tc>
          <w:tcPr>
            <w:tcW w:w="177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997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餐饮合作商须每日免费向我司提供一定人数的工作餐，具体人数由双方商定。</w:t>
            </w:r>
          </w:p>
        </w:tc>
        <w:tc>
          <w:tcPr>
            <w:tcW w:w="177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99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餐饮合作商须给予我公司不少于8折优惠的餐饮消费折扣价。</w:t>
            </w:r>
          </w:p>
        </w:tc>
        <w:tc>
          <w:tcPr>
            <w:tcW w:w="177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99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本次遴选确定的餐饮合作商在第二年享有优先合作权。</w:t>
            </w:r>
          </w:p>
        </w:tc>
        <w:tc>
          <w:tcPr>
            <w:tcW w:w="177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sz w:val="28"/>
          <w:szCs w:val="28"/>
        </w:rPr>
        <w:sectPr>
          <w:pgSz w:w="11906" w:h="16838"/>
          <w:pgMar w:top="850" w:right="1134" w:bottom="850" w:left="1134" w:header="851" w:footer="992" w:gutter="0"/>
          <w:cols w:space="0" w:num="1"/>
          <w:docGrid w:type="lines" w:linePitch="312" w:charSpace="0"/>
        </w:sectPr>
      </w:pPr>
    </w:p>
    <w:bookmarkEnd w:id="0"/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D7A9A"/>
    <w:rsid w:val="2E9F2F97"/>
    <w:rsid w:val="3A994B2A"/>
    <w:rsid w:val="45071373"/>
    <w:rsid w:val="696A7D1B"/>
    <w:rsid w:val="6989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3570</Words>
  <Characters>3679</Characters>
  <Paragraphs>261</Paragraphs>
  <TotalTime>7</TotalTime>
  <ScaleCrop>false</ScaleCrop>
  <LinksUpToDate>false</LinksUpToDate>
  <CharactersWithSpaces>3766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2021-12-20T19:44:00Z</dcterms:created>
  <dc:creator>ljzx</dc:creator>
  <cp:lastModifiedBy>Anne</cp:lastModifiedBy>
  <dcterms:modified xsi:type="dcterms:W3CDTF">2021-12-23T00:53:55Z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ECF0A76EA6534D7C85C4186860EA8DA7</vt:lpwstr>
  </property>
</Properties>
</file>